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004" w:rsidRPr="00663610" w:rsidRDefault="00541004" w:rsidP="006A08B0">
      <w:pPr>
        <w:pStyle w:val="Heading1"/>
        <w:jc w:val="both"/>
        <w:rPr>
          <w:sz w:val="22"/>
          <w:szCs w:val="22"/>
        </w:rPr>
      </w:pPr>
      <w:bookmarkStart w:id="0" w:name="_GoBack"/>
      <w:bookmarkEnd w:id="0"/>
      <w:r w:rsidRPr="00663610">
        <w:rPr>
          <w:sz w:val="22"/>
          <w:szCs w:val="22"/>
        </w:rPr>
        <w:t>KARYON INDUSTRIES BERHAD</w:t>
      </w:r>
      <w:r w:rsidR="00F77C5C" w:rsidRPr="00663610">
        <w:rPr>
          <w:rFonts w:hint="eastAsia"/>
          <w:sz w:val="22"/>
          <w:szCs w:val="22"/>
          <w:lang w:eastAsia="zh-CN"/>
        </w:rPr>
        <w:t xml:space="preserve"> (</w:t>
      </w:r>
      <w:r w:rsidR="00F77C5C" w:rsidRPr="00663610">
        <w:rPr>
          <w:sz w:val="22"/>
          <w:szCs w:val="22"/>
          <w:lang w:eastAsia="zh-CN"/>
        </w:rPr>
        <w:t>“</w:t>
      </w:r>
      <w:r w:rsidR="00F77C5C" w:rsidRPr="00663610">
        <w:rPr>
          <w:rFonts w:hint="eastAsia"/>
          <w:sz w:val="22"/>
          <w:szCs w:val="22"/>
          <w:lang w:eastAsia="zh-CN"/>
        </w:rPr>
        <w:t>KIB</w:t>
      </w:r>
      <w:r w:rsidR="00F77C5C" w:rsidRPr="00663610">
        <w:rPr>
          <w:sz w:val="22"/>
          <w:szCs w:val="22"/>
          <w:lang w:eastAsia="zh-CN"/>
        </w:rPr>
        <w:t>”</w:t>
      </w:r>
      <w:r w:rsidR="00F77C5C" w:rsidRPr="00663610">
        <w:rPr>
          <w:rFonts w:hint="eastAsia"/>
          <w:sz w:val="22"/>
          <w:szCs w:val="22"/>
          <w:lang w:eastAsia="zh-CN"/>
        </w:rPr>
        <w:t>)</w:t>
      </w:r>
      <w:r w:rsidRPr="00663610">
        <w:rPr>
          <w:sz w:val="22"/>
          <w:szCs w:val="22"/>
        </w:rPr>
        <w:tab/>
      </w:r>
      <w:r w:rsidRPr="00663610">
        <w:rPr>
          <w:sz w:val="22"/>
          <w:szCs w:val="22"/>
        </w:rPr>
        <w:tab/>
      </w:r>
      <w:r w:rsidRPr="00663610">
        <w:rPr>
          <w:sz w:val="22"/>
          <w:szCs w:val="22"/>
        </w:rPr>
        <w:tab/>
      </w:r>
      <w:r w:rsidRPr="00663610">
        <w:rPr>
          <w:sz w:val="22"/>
          <w:szCs w:val="22"/>
        </w:rPr>
        <w:tab/>
      </w:r>
      <w:r w:rsidRPr="00663610">
        <w:rPr>
          <w:sz w:val="22"/>
          <w:szCs w:val="22"/>
        </w:rPr>
        <w:tab/>
      </w:r>
      <w:r w:rsidRPr="00663610">
        <w:rPr>
          <w:sz w:val="22"/>
          <w:szCs w:val="22"/>
        </w:rPr>
        <w:tab/>
      </w:r>
      <w:r w:rsidRPr="00663610">
        <w:rPr>
          <w:sz w:val="22"/>
          <w:szCs w:val="22"/>
        </w:rPr>
        <w:tab/>
      </w:r>
    </w:p>
    <w:p w:rsidR="00541004" w:rsidRPr="00663610" w:rsidRDefault="00541004" w:rsidP="006A08B0">
      <w:pPr>
        <w:jc w:val="both"/>
        <w:rPr>
          <w:iCs/>
          <w:szCs w:val="22"/>
        </w:rPr>
      </w:pPr>
      <w:r w:rsidRPr="00663610">
        <w:rPr>
          <w:iCs/>
          <w:szCs w:val="22"/>
        </w:rPr>
        <w:t>(Company No: 612797-T)</w:t>
      </w:r>
    </w:p>
    <w:p w:rsidR="00541004" w:rsidRPr="00663610" w:rsidRDefault="00541004" w:rsidP="006A08B0">
      <w:pPr>
        <w:jc w:val="both"/>
        <w:rPr>
          <w:iCs/>
          <w:szCs w:val="22"/>
        </w:rPr>
      </w:pPr>
      <w:r w:rsidRPr="00663610">
        <w:rPr>
          <w:iCs/>
          <w:szCs w:val="22"/>
        </w:rPr>
        <w:t>(Incorporated in Malaysia)</w:t>
      </w:r>
    </w:p>
    <w:p w:rsidR="00541004" w:rsidRPr="00663610" w:rsidRDefault="00541004" w:rsidP="006A08B0">
      <w:pPr>
        <w:pStyle w:val="Heading1"/>
        <w:jc w:val="both"/>
        <w:rPr>
          <w:sz w:val="22"/>
          <w:szCs w:val="22"/>
        </w:rPr>
      </w:pPr>
    </w:p>
    <w:p w:rsidR="00541004" w:rsidRPr="00663610" w:rsidRDefault="00541004" w:rsidP="006A08B0">
      <w:pPr>
        <w:pStyle w:val="Heading1"/>
        <w:jc w:val="both"/>
        <w:rPr>
          <w:sz w:val="22"/>
          <w:szCs w:val="22"/>
        </w:rPr>
      </w:pPr>
      <w:r w:rsidRPr="00663610">
        <w:rPr>
          <w:sz w:val="22"/>
          <w:szCs w:val="22"/>
        </w:rPr>
        <w:t xml:space="preserve">UNAUDITED QUARTERLY REPORT FOR THE </w:t>
      </w:r>
      <w:r w:rsidR="00ED10C5">
        <w:rPr>
          <w:rFonts w:hint="eastAsia"/>
          <w:sz w:val="22"/>
          <w:szCs w:val="22"/>
          <w:lang w:eastAsia="zh-CN"/>
        </w:rPr>
        <w:t>1ST</w:t>
      </w:r>
      <w:r w:rsidR="006733C2" w:rsidRPr="00663610">
        <w:rPr>
          <w:sz w:val="22"/>
          <w:szCs w:val="22"/>
        </w:rPr>
        <w:t xml:space="preserve"> </w:t>
      </w:r>
      <w:r w:rsidRPr="00663610">
        <w:rPr>
          <w:sz w:val="22"/>
          <w:szCs w:val="22"/>
        </w:rPr>
        <w:t xml:space="preserve">QUARTER ENDED </w:t>
      </w:r>
      <w:r w:rsidR="006956E6">
        <w:rPr>
          <w:sz w:val="22"/>
          <w:szCs w:val="22"/>
          <w:lang w:eastAsia="zh-CN"/>
        </w:rPr>
        <w:t xml:space="preserve">31 </w:t>
      </w:r>
      <w:r w:rsidR="00ED10C5">
        <w:rPr>
          <w:rFonts w:hint="eastAsia"/>
          <w:sz w:val="22"/>
          <w:szCs w:val="22"/>
          <w:lang w:eastAsia="zh-CN"/>
        </w:rPr>
        <w:t>MARCH 2013</w:t>
      </w:r>
    </w:p>
    <w:p w:rsidR="003E0365" w:rsidRPr="00663610" w:rsidRDefault="003E0365" w:rsidP="006A08B0">
      <w:pPr>
        <w:rPr>
          <w:szCs w:val="22"/>
        </w:rPr>
      </w:pPr>
    </w:p>
    <w:p w:rsidR="00541004" w:rsidRPr="00663610" w:rsidRDefault="00541004" w:rsidP="006A08B0">
      <w:pPr>
        <w:jc w:val="both"/>
        <w:rPr>
          <w:szCs w:val="22"/>
        </w:rPr>
      </w:pPr>
      <w:r w:rsidRPr="00663610">
        <w:rPr>
          <w:szCs w:val="22"/>
        </w:rPr>
        <w:t>Explanatory notes to the Interim Financial Statements</w:t>
      </w:r>
    </w:p>
    <w:p w:rsidR="00541004" w:rsidRPr="00663610" w:rsidRDefault="00541004" w:rsidP="006A08B0">
      <w:pPr>
        <w:pStyle w:val="Header"/>
        <w:tabs>
          <w:tab w:val="clear" w:pos="4153"/>
          <w:tab w:val="clear" w:pos="8306"/>
          <w:tab w:val="left" w:pos="720"/>
          <w:tab w:val="left" w:pos="1440"/>
        </w:tabs>
        <w:ind w:left="360"/>
        <w:jc w:val="both"/>
        <w:rPr>
          <w:szCs w:val="22"/>
        </w:rPr>
      </w:pPr>
    </w:p>
    <w:p w:rsidR="00541004" w:rsidRPr="00663610" w:rsidRDefault="00604B1A" w:rsidP="008C2AFE">
      <w:pPr>
        <w:pStyle w:val="Heading2"/>
        <w:numPr>
          <w:ilvl w:val="0"/>
          <w:numId w:val="11"/>
        </w:numPr>
        <w:ind w:hanging="1080"/>
        <w:rPr>
          <w:sz w:val="22"/>
          <w:szCs w:val="22"/>
          <w:lang w:eastAsia="zh-CN"/>
        </w:rPr>
      </w:pPr>
      <w:bookmarkStart w:id="1" w:name="OLE_LINK1"/>
      <w:r w:rsidRPr="00663610">
        <w:rPr>
          <w:sz w:val="22"/>
          <w:szCs w:val="22"/>
        </w:rPr>
        <w:t xml:space="preserve">Accounting Policies and </w:t>
      </w:r>
      <w:r w:rsidR="00541004" w:rsidRPr="00663610">
        <w:rPr>
          <w:sz w:val="22"/>
          <w:szCs w:val="22"/>
        </w:rPr>
        <w:t>Basis of Preparation</w:t>
      </w:r>
    </w:p>
    <w:p w:rsidR="00CD32C3" w:rsidRPr="00663610" w:rsidRDefault="00CD32C3" w:rsidP="00CD32C3">
      <w:pPr>
        <w:rPr>
          <w:lang w:eastAsia="zh-CN"/>
        </w:rPr>
      </w:pPr>
    </w:p>
    <w:p w:rsidR="00CD32C3" w:rsidRPr="00663610" w:rsidRDefault="002B36C1" w:rsidP="00DF4772">
      <w:pPr>
        <w:tabs>
          <w:tab w:val="clear" w:pos="1440"/>
        </w:tabs>
        <w:ind w:left="720"/>
        <w:jc w:val="both"/>
        <w:rPr>
          <w:lang w:eastAsia="zh-CN"/>
        </w:rPr>
      </w:pPr>
      <w:r w:rsidRPr="00663610">
        <w:rPr>
          <w:rFonts w:hint="eastAsia"/>
          <w:lang w:eastAsia="zh-CN"/>
        </w:rPr>
        <w:t>Th</w:t>
      </w:r>
      <w:r w:rsidR="00482445" w:rsidRPr="00663610">
        <w:rPr>
          <w:rFonts w:hint="eastAsia"/>
          <w:lang w:eastAsia="zh-CN"/>
        </w:rPr>
        <w:t>is</w:t>
      </w:r>
      <w:r w:rsidRPr="00663610">
        <w:rPr>
          <w:rFonts w:hint="eastAsia"/>
          <w:lang w:eastAsia="zh-CN"/>
        </w:rPr>
        <w:t xml:space="preserve"> interim financial </w:t>
      </w:r>
      <w:r w:rsidRPr="00663610">
        <w:rPr>
          <w:lang w:eastAsia="zh-CN"/>
        </w:rPr>
        <w:t>statement</w:t>
      </w:r>
      <w:r w:rsidR="00C52906" w:rsidRPr="00663610">
        <w:rPr>
          <w:lang w:eastAsia="zh-CN"/>
        </w:rPr>
        <w:t>s</w:t>
      </w:r>
      <w:r w:rsidR="00F438DC" w:rsidRPr="00663610">
        <w:rPr>
          <w:rFonts w:hint="eastAsia"/>
          <w:lang w:eastAsia="zh-CN"/>
        </w:rPr>
        <w:t xml:space="preserve"> </w:t>
      </w:r>
      <w:r w:rsidRPr="00663610">
        <w:rPr>
          <w:rFonts w:hint="eastAsia"/>
          <w:lang w:eastAsia="zh-CN"/>
        </w:rPr>
        <w:t>ha</w:t>
      </w:r>
      <w:r w:rsidR="00482445" w:rsidRPr="00663610">
        <w:rPr>
          <w:rFonts w:hint="eastAsia"/>
          <w:lang w:eastAsia="zh-CN"/>
        </w:rPr>
        <w:t>s</w:t>
      </w:r>
      <w:r w:rsidRPr="00663610">
        <w:rPr>
          <w:rFonts w:hint="eastAsia"/>
          <w:lang w:eastAsia="zh-CN"/>
        </w:rPr>
        <w:t xml:space="preserve"> been prepared in accordance with </w:t>
      </w:r>
      <w:r w:rsidR="00AC025B" w:rsidRPr="00663610">
        <w:rPr>
          <w:lang w:eastAsia="zh-CN"/>
        </w:rPr>
        <w:t>Malaysian Financial Reporting Standards (“</w:t>
      </w:r>
      <w:r w:rsidRPr="00663610">
        <w:rPr>
          <w:rFonts w:hint="eastAsia"/>
          <w:lang w:eastAsia="zh-CN"/>
        </w:rPr>
        <w:t>MFRS</w:t>
      </w:r>
      <w:r w:rsidR="00AC025B" w:rsidRPr="00663610">
        <w:rPr>
          <w:lang w:eastAsia="zh-CN"/>
        </w:rPr>
        <w:t>”)</w:t>
      </w:r>
      <w:r w:rsidRPr="00663610">
        <w:rPr>
          <w:rFonts w:hint="eastAsia"/>
          <w:lang w:eastAsia="zh-CN"/>
        </w:rPr>
        <w:t xml:space="preserve"> 134</w:t>
      </w:r>
      <w:r w:rsidR="00AC025B" w:rsidRPr="00663610">
        <w:rPr>
          <w:lang w:eastAsia="zh-CN"/>
        </w:rPr>
        <w:t>:</w:t>
      </w:r>
      <w:r w:rsidRPr="00663610">
        <w:rPr>
          <w:rFonts w:hint="eastAsia"/>
          <w:lang w:eastAsia="zh-CN"/>
        </w:rPr>
        <w:t xml:space="preserve"> Interim Financial Reporting and </w:t>
      </w:r>
      <w:r w:rsidR="00C52906" w:rsidRPr="00663610">
        <w:rPr>
          <w:lang w:eastAsia="zh-CN"/>
        </w:rPr>
        <w:t>Rule</w:t>
      </w:r>
      <w:r w:rsidR="00C52906" w:rsidRPr="00663610">
        <w:rPr>
          <w:rFonts w:hint="eastAsia"/>
          <w:lang w:eastAsia="zh-CN"/>
        </w:rPr>
        <w:t xml:space="preserve"> </w:t>
      </w:r>
      <w:r w:rsidRPr="00663610">
        <w:rPr>
          <w:rFonts w:hint="eastAsia"/>
          <w:lang w:eastAsia="zh-CN"/>
        </w:rPr>
        <w:t xml:space="preserve">9.22 of the </w:t>
      </w:r>
      <w:r w:rsidR="00C52906" w:rsidRPr="00663610">
        <w:rPr>
          <w:lang w:eastAsia="zh-CN"/>
        </w:rPr>
        <w:t xml:space="preserve">ACE Market </w:t>
      </w:r>
      <w:r w:rsidRPr="00663610">
        <w:rPr>
          <w:rFonts w:hint="eastAsia"/>
          <w:lang w:eastAsia="zh-CN"/>
        </w:rPr>
        <w:t>Listing Requirements of Bursa Malaysia Securities Berhad</w:t>
      </w:r>
      <w:r w:rsidR="00C52906" w:rsidRPr="00663610">
        <w:rPr>
          <w:lang w:eastAsia="zh-CN"/>
        </w:rPr>
        <w:t xml:space="preserve"> (“Bursa Securities”)</w:t>
      </w:r>
      <w:r w:rsidR="00482445" w:rsidRPr="00663610">
        <w:rPr>
          <w:rFonts w:hint="eastAsia"/>
          <w:lang w:eastAsia="zh-CN"/>
        </w:rPr>
        <w:t xml:space="preserve"> and should be read in conjunction with the audited financial statements of the Group for the</w:t>
      </w:r>
      <w:r w:rsidR="002E6F18" w:rsidRPr="00663610">
        <w:rPr>
          <w:lang w:eastAsia="zh-CN"/>
        </w:rPr>
        <w:t xml:space="preserve"> financial</w:t>
      </w:r>
      <w:r w:rsidR="00482445" w:rsidRPr="00663610">
        <w:rPr>
          <w:rFonts w:hint="eastAsia"/>
          <w:lang w:eastAsia="zh-CN"/>
        </w:rPr>
        <w:t xml:space="preserve"> year ended 31 December 201</w:t>
      </w:r>
      <w:r w:rsidR="00FC05DA">
        <w:rPr>
          <w:lang w:eastAsia="zh-CN"/>
        </w:rPr>
        <w:t>2</w:t>
      </w:r>
      <w:r w:rsidR="00482445" w:rsidRPr="00663610">
        <w:rPr>
          <w:rFonts w:hint="eastAsia"/>
          <w:lang w:eastAsia="zh-CN"/>
        </w:rPr>
        <w:t>.</w:t>
      </w:r>
    </w:p>
    <w:p w:rsidR="00F438DC" w:rsidRPr="00663610" w:rsidRDefault="002B36C1" w:rsidP="00F438DC">
      <w:pPr>
        <w:ind w:left="720" w:hanging="720"/>
        <w:jc w:val="both"/>
        <w:rPr>
          <w:szCs w:val="22"/>
          <w:lang w:eastAsia="zh-CN"/>
        </w:rPr>
      </w:pPr>
      <w:r w:rsidRPr="00663610">
        <w:rPr>
          <w:rFonts w:hint="eastAsia"/>
          <w:lang w:eastAsia="zh-CN"/>
        </w:rPr>
        <w:tab/>
      </w:r>
      <w:bookmarkStart w:id="2" w:name="OLE_LINK2"/>
    </w:p>
    <w:p w:rsidR="0053559F" w:rsidRPr="00663610" w:rsidRDefault="00ED44EA" w:rsidP="00632726">
      <w:pPr>
        <w:numPr>
          <w:ilvl w:val="0"/>
          <w:numId w:val="11"/>
        </w:numPr>
        <w:tabs>
          <w:tab w:val="clear" w:pos="720"/>
          <w:tab w:val="clear" w:pos="1440"/>
        </w:tabs>
        <w:autoSpaceDE w:val="0"/>
        <w:autoSpaceDN w:val="0"/>
        <w:adjustRightInd w:val="0"/>
        <w:ind w:left="720"/>
        <w:rPr>
          <w:b/>
          <w:bCs/>
          <w:szCs w:val="22"/>
          <w:lang w:eastAsia="zh-CN"/>
        </w:rPr>
      </w:pPr>
      <w:r w:rsidRPr="00663610">
        <w:rPr>
          <w:rFonts w:hint="eastAsia"/>
          <w:b/>
          <w:bCs/>
          <w:szCs w:val="22"/>
          <w:lang w:eastAsia="zh-CN"/>
        </w:rPr>
        <w:t>Significant Accounting Policies</w:t>
      </w:r>
    </w:p>
    <w:p w:rsidR="0053559F" w:rsidRPr="00663610" w:rsidRDefault="0053559F" w:rsidP="0053559F">
      <w:pPr>
        <w:tabs>
          <w:tab w:val="clear" w:pos="720"/>
          <w:tab w:val="clear" w:pos="1440"/>
        </w:tabs>
        <w:autoSpaceDE w:val="0"/>
        <w:autoSpaceDN w:val="0"/>
        <w:adjustRightInd w:val="0"/>
        <w:ind w:left="1080"/>
        <w:rPr>
          <w:b/>
          <w:bCs/>
          <w:szCs w:val="22"/>
          <w:lang w:eastAsia="zh-CN"/>
        </w:rPr>
      </w:pPr>
    </w:p>
    <w:p w:rsidR="0053559F" w:rsidRDefault="00482445" w:rsidP="0053559F">
      <w:pPr>
        <w:tabs>
          <w:tab w:val="clear" w:pos="720"/>
          <w:tab w:val="clear" w:pos="1440"/>
        </w:tabs>
        <w:autoSpaceDE w:val="0"/>
        <w:autoSpaceDN w:val="0"/>
        <w:adjustRightInd w:val="0"/>
        <w:ind w:left="720"/>
        <w:jc w:val="both"/>
        <w:rPr>
          <w:szCs w:val="22"/>
          <w:lang w:eastAsia="zh-CN"/>
        </w:rPr>
      </w:pPr>
      <w:r w:rsidRPr="00663610">
        <w:rPr>
          <w:rFonts w:hint="eastAsia"/>
          <w:szCs w:val="22"/>
          <w:lang w:eastAsia="zh-CN"/>
        </w:rPr>
        <w:t xml:space="preserve">The </w:t>
      </w:r>
      <w:r w:rsidR="00945B6A" w:rsidRPr="00663610">
        <w:rPr>
          <w:rFonts w:hint="eastAsia"/>
          <w:szCs w:val="22"/>
          <w:lang w:eastAsia="zh-CN"/>
        </w:rPr>
        <w:t xml:space="preserve">significant </w:t>
      </w:r>
      <w:r w:rsidRPr="00663610">
        <w:rPr>
          <w:rFonts w:hint="eastAsia"/>
          <w:szCs w:val="22"/>
          <w:lang w:eastAsia="zh-CN"/>
        </w:rPr>
        <w:t xml:space="preserve">accounting policies adopted by </w:t>
      </w:r>
      <w:r w:rsidR="003257A9" w:rsidRPr="00663610">
        <w:rPr>
          <w:szCs w:val="22"/>
          <w:lang w:eastAsia="zh-CN"/>
        </w:rPr>
        <w:t>KIB and its subsidiaries (“</w:t>
      </w:r>
      <w:r w:rsidRPr="00663610">
        <w:rPr>
          <w:rFonts w:hint="eastAsia"/>
          <w:szCs w:val="22"/>
          <w:lang w:eastAsia="zh-CN"/>
        </w:rPr>
        <w:t>Group</w:t>
      </w:r>
      <w:r w:rsidR="003257A9" w:rsidRPr="00663610">
        <w:rPr>
          <w:szCs w:val="22"/>
          <w:lang w:eastAsia="zh-CN"/>
        </w:rPr>
        <w:t>”)</w:t>
      </w:r>
      <w:r w:rsidRPr="00663610">
        <w:rPr>
          <w:rFonts w:hint="eastAsia"/>
          <w:szCs w:val="22"/>
          <w:lang w:eastAsia="zh-CN"/>
        </w:rPr>
        <w:t xml:space="preserve"> in this </w:t>
      </w:r>
      <w:r w:rsidR="00945B6A" w:rsidRPr="00663610">
        <w:rPr>
          <w:rFonts w:hint="eastAsia"/>
          <w:szCs w:val="22"/>
          <w:lang w:eastAsia="zh-CN"/>
        </w:rPr>
        <w:t xml:space="preserve">interim financial </w:t>
      </w:r>
      <w:r w:rsidRPr="00663610">
        <w:rPr>
          <w:rFonts w:hint="eastAsia"/>
          <w:szCs w:val="22"/>
          <w:lang w:eastAsia="zh-CN"/>
        </w:rPr>
        <w:t>statement</w:t>
      </w:r>
      <w:r w:rsidR="00945B6A" w:rsidRPr="00663610">
        <w:rPr>
          <w:rFonts w:hint="eastAsia"/>
          <w:szCs w:val="22"/>
          <w:lang w:eastAsia="zh-CN"/>
        </w:rPr>
        <w:t>s</w:t>
      </w:r>
      <w:r w:rsidRPr="00663610">
        <w:rPr>
          <w:rFonts w:hint="eastAsia"/>
          <w:szCs w:val="22"/>
          <w:lang w:eastAsia="zh-CN"/>
        </w:rPr>
        <w:t xml:space="preserve"> are consistent with those adopted in </w:t>
      </w:r>
      <w:r w:rsidRPr="00663610">
        <w:rPr>
          <w:szCs w:val="22"/>
          <w:lang w:eastAsia="zh-CN"/>
        </w:rPr>
        <w:t>the</w:t>
      </w:r>
      <w:r w:rsidRPr="00663610">
        <w:rPr>
          <w:rFonts w:hint="eastAsia"/>
          <w:szCs w:val="22"/>
          <w:lang w:eastAsia="zh-CN"/>
        </w:rPr>
        <w:t xml:space="preserve"> financial statements for the </w:t>
      </w:r>
      <w:r w:rsidR="002E6F18" w:rsidRPr="00663610">
        <w:rPr>
          <w:szCs w:val="22"/>
          <w:lang w:eastAsia="zh-CN"/>
        </w:rPr>
        <w:t xml:space="preserve">financial </w:t>
      </w:r>
      <w:r w:rsidRPr="00663610">
        <w:rPr>
          <w:rFonts w:hint="eastAsia"/>
          <w:szCs w:val="22"/>
          <w:lang w:eastAsia="zh-CN"/>
        </w:rPr>
        <w:t>year ended 31 December 201</w:t>
      </w:r>
      <w:r w:rsidR="00FC05DA">
        <w:rPr>
          <w:szCs w:val="22"/>
          <w:lang w:eastAsia="zh-CN"/>
        </w:rPr>
        <w:t>2</w:t>
      </w:r>
      <w:r w:rsidRPr="00663610">
        <w:rPr>
          <w:rFonts w:hint="eastAsia"/>
          <w:szCs w:val="22"/>
          <w:lang w:eastAsia="zh-CN"/>
        </w:rPr>
        <w:t xml:space="preserve"> except for the newly-issued Malaysian Accounting Standards Board approved accounting framework</w:t>
      </w:r>
      <w:r w:rsidR="002E6F18" w:rsidRPr="00663610">
        <w:rPr>
          <w:szCs w:val="22"/>
          <w:lang w:eastAsia="zh-CN"/>
        </w:rPr>
        <w:t xml:space="preserve"> </w:t>
      </w:r>
      <w:r w:rsidRPr="00663610">
        <w:rPr>
          <w:rFonts w:hint="eastAsia"/>
          <w:szCs w:val="22"/>
          <w:lang w:eastAsia="zh-CN"/>
        </w:rPr>
        <w:t xml:space="preserve">- </w:t>
      </w:r>
      <w:r w:rsidR="000D1FAC" w:rsidRPr="00663610">
        <w:rPr>
          <w:rFonts w:hint="eastAsia"/>
          <w:szCs w:val="22"/>
          <w:lang w:eastAsia="zh-CN"/>
        </w:rPr>
        <w:t>MFRS and IC Interpretation</w:t>
      </w:r>
      <w:r w:rsidR="00CE4A44" w:rsidRPr="00663610">
        <w:rPr>
          <w:rFonts w:hint="eastAsia"/>
          <w:szCs w:val="22"/>
          <w:lang w:eastAsia="zh-CN"/>
        </w:rPr>
        <w:t>s</w:t>
      </w:r>
      <w:r w:rsidR="000D1FAC" w:rsidRPr="00663610">
        <w:rPr>
          <w:rFonts w:hint="eastAsia"/>
          <w:szCs w:val="22"/>
          <w:lang w:eastAsia="zh-CN"/>
        </w:rPr>
        <w:t xml:space="preserve"> (</w:t>
      </w:r>
      <w:r w:rsidR="000D1FAC" w:rsidRPr="00663610">
        <w:rPr>
          <w:szCs w:val="22"/>
          <w:lang w:eastAsia="zh-CN"/>
        </w:rPr>
        <w:t>“</w:t>
      </w:r>
      <w:r w:rsidR="000D1FAC" w:rsidRPr="00663610">
        <w:rPr>
          <w:rFonts w:hint="eastAsia"/>
          <w:szCs w:val="22"/>
          <w:lang w:eastAsia="zh-CN"/>
        </w:rPr>
        <w:t>IC Int.</w:t>
      </w:r>
      <w:r w:rsidR="000D1FAC" w:rsidRPr="00663610">
        <w:rPr>
          <w:szCs w:val="22"/>
          <w:lang w:eastAsia="zh-CN"/>
        </w:rPr>
        <w:t>”</w:t>
      </w:r>
      <w:r w:rsidR="000D1FAC" w:rsidRPr="00663610">
        <w:rPr>
          <w:rFonts w:hint="eastAsia"/>
          <w:szCs w:val="22"/>
          <w:lang w:eastAsia="zh-CN"/>
        </w:rPr>
        <w:t xml:space="preserve">) to be applied by all Entities Other </w:t>
      </w:r>
      <w:r w:rsidR="003E452B" w:rsidRPr="00663610">
        <w:rPr>
          <w:rFonts w:hint="eastAsia"/>
          <w:szCs w:val="22"/>
          <w:lang w:eastAsia="zh-CN"/>
        </w:rPr>
        <w:t>Than Private Entities for the financial period beginning on 1 January 201</w:t>
      </w:r>
      <w:r w:rsidR="00401014">
        <w:rPr>
          <w:rFonts w:hint="eastAsia"/>
          <w:szCs w:val="22"/>
          <w:lang w:eastAsia="zh-CN"/>
        </w:rPr>
        <w:t>3</w:t>
      </w:r>
      <w:r w:rsidR="00332C56">
        <w:rPr>
          <w:szCs w:val="22"/>
          <w:lang w:eastAsia="zh-CN"/>
        </w:rPr>
        <w:t>, which are as follows:</w:t>
      </w:r>
    </w:p>
    <w:p w:rsidR="00332C56" w:rsidRDefault="00332C56" w:rsidP="0053559F">
      <w:pPr>
        <w:tabs>
          <w:tab w:val="clear" w:pos="720"/>
          <w:tab w:val="clear" w:pos="1440"/>
        </w:tabs>
        <w:autoSpaceDE w:val="0"/>
        <w:autoSpaceDN w:val="0"/>
        <w:adjustRightInd w:val="0"/>
        <w:ind w:left="720"/>
        <w:jc w:val="both"/>
        <w:rPr>
          <w:szCs w:val="22"/>
          <w:lang w:eastAsia="zh-C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6378"/>
      </w:tblGrid>
      <w:tr w:rsidR="00332C56" w:rsidRPr="00663610" w:rsidTr="001249A4">
        <w:tc>
          <w:tcPr>
            <w:tcW w:w="3216" w:type="dxa"/>
            <w:shd w:val="clear" w:color="auto" w:fill="auto"/>
          </w:tcPr>
          <w:p w:rsidR="00332C56" w:rsidRPr="00663610" w:rsidRDefault="00332C56" w:rsidP="00712018">
            <w:pPr>
              <w:pStyle w:val="BodyText"/>
              <w:rPr>
                <w:szCs w:val="22"/>
                <w:lang w:eastAsia="zh-CN"/>
              </w:rPr>
            </w:pPr>
            <w:r w:rsidRPr="00663610">
              <w:rPr>
                <w:rFonts w:hint="eastAsia"/>
                <w:szCs w:val="22"/>
                <w:lang w:eastAsia="zh-CN"/>
              </w:rPr>
              <w:t>Amendments to MFRS 101</w:t>
            </w:r>
          </w:p>
        </w:tc>
        <w:tc>
          <w:tcPr>
            <w:tcW w:w="6378" w:type="dxa"/>
            <w:shd w:val="clear" w:color="auto" w:fill="auto"/>
          </w:tcPr>
          <w:p w:rsidR="00332C56" w:rsidRPr="00663610" w:rsidRDefault="00332C56" w:rsidP="00712018">
            <w:pPr>
              <w:pStyle w:val="BodyText"/>
              <w:rPr>
                <w:szCs w:val="22"/>
                <w:lang w:eastAsia="zh-CN"/>
              </w:rPr>
            </w:pPr>
            <w:r w:rsidRPr="00663610">
              <w:rPr>
                <w:rFonts w:hint="eastAsia"/>
                <w:szCs w:val="22"/>
                <w:lang w:eastAsia="zh-CN"/>
              </w:rPr>
              <w:t>Presentation of Items of Other Comprehensive Income</w:t>
            </w:r>
          </w:p>
        </w:tc>
      </w:tr>
      <w:tr w:rsidR="001249A4" w:rsidRPr="00663610" w:rsidTr="001249A4">
        <w:tc>
          <w:tcPr>
            <w:tcW w:w="3216" w:type="dxa"/>
            <w:shd w:val="clear" w:color="auto" w:fill="auto"/>
          </w:tcPr>
          <w:p w:rsidR="001249A4" w:rsidRPr="00663610" w:rsidRDefault="001249A4" w:rsidP="00712018">
            <w:pPr>
              <w:pStyle w:val="BodyText"/>
              <w:rPr>
                <w:szCs w:val="22"/>
                <w:lang w:eastAsia="zh-CN"/>
              </w:rPr>
            </w:pPr>
            <w:r>
              <w:rPr>
                <w:szCs w:val="22"/>
                <w:lang w:eastAsia="zh-CN"/>
              </w:rPr>
              <w:t>MFRS 3</w:t>
            </w:r>
          </w:p>
        </w:tc>
        <w:tc>
          <w:tcPr>
            <w:tcW w:w="6378" w:type="dxa"/>
            <w:shd w:val="clear" w:color="auto" w:fill="auto"/>
          </w:tcPr>
          <w:p w:rsidR="001249A4" w:rsidRPr="00663610" w:rsidRDefault="001249A4" w:rsidP="00712018">
            <w:pPr>
              <w:pStyle w:val="BodyText"/>
              <w:rPr>
                <w:szCs w:val="22"/>
                <w:lang w:eastAsia="zh-CN"/>
              </w:rPr>
            </w:pPr>
            <w:r>
              <w:rPr>
                <w:szCs w:val="22"/>
                <w:lang w:eastAsia="zh-CN"/>
              </w:rPr>
              <w:t>Business Combinations</w:t>
            </w:r>
          </w:p>
        </w:tc>
      </w:tr>
      <w:tr w:rsidR="00332C56" w:rsidRPr="00663610" w:rsidTr="001249A4">
        <w:tc>
          <w:tcPr>
            <w:tcW w:w="3216" w:type="dxa"/>
            <w:shd w:val="clear" w:color="auto" w:fill="auto"/>
          </w:tcPr>
          <w:p w:rsidR="00332C56" w:rsidRPr="00663610" w:rsidRDefault="00332C56" w:rsidP="00712018">
            <w:pPr>
              <w:pStyle w:val="BodyText"/>
              <w:rPr>
                <w:szCs w:val="22"/>
                <w:lang w:eastAsia="zh-CN"/>
              </w:rPr>
            </w:pPr>
            <w:r w:rsidRPr="00663610">
              <w:rPr>
                <w:szCs w:val="22"/>
                <w:lang w:eastAsia="zh-CN"/>
              </w:rPr>
              <w:t>MFRS 10</w:t>
            </w:r>
          </w:p>
        </w:tc>
        <w:tc>
          <w:tcPr>
            <w:tcW w:w="6378" w:type="dxa"/>
            <w:shd w:val="clear" w:color="auto" w:fill="auto"/>
          </w:tcPr>
          <w:p w:rsidR="00332C56" w:rsidRPr="00663610" w:rsidRDefault="00332C56" w:rsidP="00712018">
            <w:pPr>
              <w:pStyle w:val="BodyText"/>
              <w:rPr>
                <w:szCs w:val="22"/>
                <w:lang w:eastAsia="zh-CN"/>
              </w:rPr>
            </w:pPr>
            <w:r w:rsidRPr="00663610">
              <w:rPr>
                <w:szCs w:val="22"/>
                <w:lang w:eastAsia="zh-CN"/>
              </w:rPr>
              <w:t>Consolidated Financial Statements</w:t>
            </w:r>
          </w:p>
        </w:tc>
      </w:tr>
      <w:tr w:rsidR="00332C56" w:rsidRPr="00663610" w:rsidTr="001249A4">
        <w:trPr>
          <w:trHeight w:val="302"/>
        </w:trPr>
        <w:tc>
          <w:tcPr>
            <w:tcW w:w="3216" w:type="dxa"/>
            <w:shd w:val="clear" w:color="auto" w:fill="auto"/>
          </w:tcPr>
          <w:p w:rsidR="00332C56" w:rsidRPr="00663610" w:rsidRDefault="00332C56" w:rsidP="00712018">
            <w:pPr>
              <w:pStyle w:val="BodyText"/>
              <w:rPr>
                <w:szCs w:val="22"/>
                <w:lang w:eastAsia="zh-CN"/>
              </w:rPr>
            </w:pPr>
            <w:r w:rsidRPr="00663610">
              <w:rPr>
                <w:szCs w:val="22"/>
                <w:lang w:eastAsia="zh-CN"/>
              </w:rPr>
              <w:t>MFRS 11</w:t>
            </w:r>
          </w:p>
        </w:tc>
        <w:tc>
          <w:tcPr>
            <w:tcW w:w="6378" w:type="dxa"/>
            <w:shd w:val="clear" w:color="auto" w:fill="auto"/>
          </w:tcPr>
          <w:p w:rsidR="00332C56" w:rsidRPr="00663610" w:rsidRDefault="00332C56" w:rsidP="00712018">
            <w:pPr>
              <w:pStyle w:val="BodyText"/>
              <w:rPr>
                <w:szCs w:val="22"/>
                <w:lang w:eastAsia="zh-CN"/>
              </w:rPr>
            </w:pPr>
            <w:r w:rsidRPr="00663610">
              <w:rPr>
                <w:szCs w:val="22"/>
                <w:lang w:eastAsia="zh-CN"/>
              </w:rPr>
              <w:t>Joint Arrangements</w:t>
            </w:r>
          </w:p>
        </w:tc>
      </w:tr>
      <w:tr w:rsidR="00332C56" w:rsidRPr="00663610" w:rsidTr="001249A4">
        <w:tc>
          <w:tcPr>
            <w:tcW w:w="3216" w:type="dxa"/>
            <w:shd w:val="clear" w:color="auto" w:fill="auto"/>
          </w:tcPr>
          <w:p w:rsidR="00332C56" w:rsidRPr="00663610" w:rsidRDefault="00332C56" w:rsidP="00712018">
            <w:pPr>
              <w:pStyle w:val="BodyText"/>
              <w:rPr>
                <w:szCs w:val="22"/>
                <w:lang w:eastAsia="zh-CN"/>
              </w:rPr>
            </w:pPr>
            <w:r w:rsidRPr="00663610">
              <w:rPr>
                <w:szCs w:val="22"/>
                <w:lang w:eastAsia="zh-CN"/>
              </w:rPr>
              <w:t>MFRS 12</w:t>
            </w:r>
          </w:p>
        </w:tc>
        <w:tc>
          <w:tcPr>
            <w:tcW w:w="6378" w:type="dxa"/>
            <w:shd w:val="clear" w:color="auto" w:fill="auto"/>
          </w:tcPr>
          <w:p w:rsidR="00332C56" w:rsidRPr="00663610" w:rsidRDefault="00332C56" w:rsidP="00712018">
            <w:pPr>
              <w:pStyle w:val="BodyText"/>
              <w:rPr>
                <w:szCs w:val="22"/>
                <w:lang w:eastAsia="zh-CN"/>
              </w:rPr>
            </w:pPr>
            <w:r w:rsidRPr="00663610">
              <w:rPr>
                <w:szCs w:val="22"/>
                <w:lang w:eastAsia="zh-CN"/>
              </w:rPr>
              <w:t>Disclosure of Interests in Other Entities</w:t>
            </w:r>
          </w:p>
        </w:tc>
      </w:tr>
      <w:tr w:rsidR="00332C56" w:rsidRPr="00663610" w:rsidTr="001249A4">
        <w:tc>
          <w:tcPr>
            <w:tcW w:w="3216" w:type="dxa"/>
            <w:shd w:val="clear" w:color="auto" w:fill="auto"/>
          </w:tcPr>
          <w:p w:rsidR="00332C56" w:rsidRPr="00663610" w:rsidRDefault="00332C56" w:rsidP="00712018">
            <w:pPr>
              <w:pStyle w:val="BodyText"/>
              <w:rPr>
                <w:szCs w:val="22"/>
                <w:lang w:eastAsia="zh-CN"/>
              </w:rPr>
            </w:pPr>
            <w:r w:rsidRPr="00663610">
              <w:rPr>
                <w:szCs w:val="22"/>
                <w:lang w:eastAsia="zh-CN"/>
              </w:rPr>
              <w:t>MFRS 13</w:t>
            </w:r>
          </w:p>
        </w:tc>
        <w:tc>
          <w:tcPr>
            <w:tcW w:w="6378" w:type="dxa"/>
            <w:shd w:val="clear" w:color="auto" w:fill="auto"/>
          </w:tcPr>
          <w:p w:rsidR="00332C56" w:rsidRPr="00663610" w:rsidRDefault="00332C56" w:rsidP="00712018">
            <w:pPr>
              <w:pStyle w:val="BodyText"/>
              <w:rPr>
                <w:szCs w:val="22"/>
                <w:lang w:eastAsia="zh-CN"/>
              </w:rPr>
            </w:pPr>
            <w:r w:rsidRPr="00663610">
              <w:rPr>
                <w:szCs w:val="22"/>
                <w:lang w:eastAsia="zh-CN"/>
              </w:rPr>
              <w:t>Fair Value Measurement</w:t>
            </w:r>
          </w:p>
        </w:tc>
      </w:tr>
      <w:tr w:rsidR="00332C56" w:rsidRPr="00663610" w:rsidTr="001249A4">
        <w:tc>
          <w:tcPr>
            <w:tcW w:w="3216" w:type="dxa"/>
            <w:shd w:val="clear" w:color="auto" w:fill="auto"/>
          </w:tcPr>
          <w:p w:rsidR="00332C56" w:rsidRPr="00663610" w:rsidRDefault="00332C56" w:rsidP="00712018">
            <w:pPr>
              <w:pStyle w:val="BodyText"/>
              <w:rPr>
                <w:szCs w:val="22"/>
                <w:lang w:eastAsia="zh-CN"/>
              </w:rPr>
            </w:pPr>
            <w:r w:rsidRPr="00663610">
              <w:rPr>
                <w:szCs w:val="22"/>
                <w:lang w:eastAsia="zh-CN"/>
              </w:rPr>
              <w:t>MFRS 119</w:t>
            </w:r>
          </w:p>
        </w:tc>
        <w:tc>
          <w:tcPr>
            <w:tcW w:w="6378" w:type="dxa"/>
            <w:shd w:val="clear" w:color="auto" w:fill="auto"/>
          </w:tcPr>
          <w:p w:rsidR="00332C56" w:rsidRPr="00663610" w:rsidRDefault="00332C56" w:rsidP="00712018">
            <w:pPr>
              <w:pStyle w:val="BodyText"/>
              <w:rPr>
                <w:szCs w:val="22"/>
                <w:lang w:eastAsia="zh-CN"/>
              </w:rPr>
            </w:pPr>
            <w:r w:rsidRPr="00663610">
              <w:rPr>
                <w:szCs w:val="22"/>
                <w:lang w:eastAsia="zh-CN"/>
              </w:rPr>
              <w:t>Employee Benefits</w:t>
            </w:r>
          </w:p>
        </w:tc>
      </w:tr>
      <w:tr w:rsidR="00332C56" w:rsidRPr="00663610" w:rsidTr="001249A4">
        <w:tc>
          <w:tcPr>
            <w:tcW w:w="3216" w:type="dxa"/>
            <w:shd w:val="clear" w:color="auto" w:fill="auto"/>
          </w:tcPr>
          <w:p w:rsidR="00332C56" w:rsidRPr="00663610" w:rsidRDefault="00332C56" w:rsidP="00712018">
            <w:pPr>
              <w:pStyle w:val="BodyText"/>
              <w:rPr>
                <w:szCs w:val="22"/>
                <w:lang w:eastAsia="zh-CN"/>
              </w:rPr>
            </w:pPr>
            <w:r w:rsidRPr="00663610">
              <w:rPr>
                <w:szCs w:val="22"/>
                <w:lang w:eastAsia="zh-CN"/>
              </w:rPr>
              <w:t>MFRS 127</w:t>
            </w:r>
          </w:p>
        </w:tc>
        <w:tc>
          <w:tcPr>
            <w:tcW w:w="6378" w:type="dxa"/>
            <w:shd w:val="clear" w:color="auto" w:fill="auto"/>
          </w:tcPr>
          <w:p w:rsidR="00332C56" w:rsidRPr="00663610" w:rsidRDefault="00332C56" w:rsidP="00712018">
            <w:pPr>
              <w:pStyle w:val="BodyText"/>
              <w:rPr>
                <w:szCs w:val="22"/>
                <w:lang w:eastAsia="zh-CN"/>
              </w:rPr>
            </w:pPr>
            <w:r w:rsidRPr="00663610">
              <w:rPr>
                <w:szCs w:val="22"/>
                <w:lang w:eastAsia="zh-CN"/>
              </w:rPr>
              <w:t>Separate Financial Statements</w:t>
            </w:r>
          </w:p>
        </w:tc>
      </w:tr>
      <w:tr w:rsidR="00332C56" w:rsidRPr="00663610" w:rsidTr="001249A4">
        <w:tc>
          <w:tcPr>
            <w:tcW w:w="3216" w:type="dxa"/>
            <w:shd w:val="clear" w:color="auto" w:fill="auto"/>
          </w:tcPr>
          <w:p w:rsidR="00332C56" w:rsidRPr="00663610" w:rsidRDefault="00332C56" w:rsidP="00712018">
            <w:pPr>
              <w:pStyle w:val="BodyText"/>
              <w:rPr>
                <w:szCs w:val="22"/>
                <w:lang w:eastAsia="zh-CN"/>
              </w:rPr>
            </w:pPr>
            <w:r w:rsidRPr="00663610">
              <w:rPr>
                <w:szCs w:val="22"/>
                <w:lang w:eastAsia="zh-CN"/>
              </w:rPr>
              <w:t>MFRS 128</w:t>
            </w:r>
          </w:p>
        </w:tc>
        <w:tc>
          <w:tcPr>
            <w:tcW w:w="6378" w:type="dxa"/>
            <w:shd w:val="clear" w:color="auto" w:fill="auto"/>
          </w:tcPr>
          <w:p w:rsidR="00332C56" w:rsidRPr="00663610" w:rsidRDefault="00332C56" w:rsidP="00712018">
            <w:pPr>
              <w:pStyle w:val="BodyText"/>
              <w:rPr>
                <w:szCs w:val="22"/>
                <w:lang w:eastAsia="zh-CN"/>
              </w:rPr>
            </w:pPr>
            <w:r w:rsidRPr="00663610">
              <w:rPr>
                <w:szCs w:val="22"/>
                <w:lang w:eastAsia="zh-CN"/>
              </w:rPr>
              <w:t>Investments in Associates and Joint</w:t>
            </w:r>
            <w:r w:rsidRPr="00663610">
              <w:rPr>
                <w:rFonts w:hint="eastAsia"/>
                <w:szCs w:val="22"/>
                <w:lang w:eastAsia="zh-CN"/>
              </w:rPr>
              <w:t xml:space="preserve"> Ventures</w:t>
            </w:r>
          </w:p>
        </w:tc>
      </w:tr>
      <w:tr w:rsidR="00332C56" w:rsidRPr="00663610" w:rsidTr="001249A4">
        <w:tc>
          <w:tcPr>
            <w:tcW w:w="3216" w:type="dxa"/>
            <w:shd w:val="clear" w:color="auto" w:fill="auto"/>
          </w:tcPr>
          <w:p w:rsidR="00332C56" w:rsidRPr="00663610" w:rsidRDefault="00332C56" w:rsidP="00712018">
            <w:pPr>
              <w:pStyle w:val="BodyText"/>
              <w:rPr>
                <w:szCs w:val="22"/>
                <w:lang w:eastAsia="zh-CN"/>
              </w:rPr>
            </w:pPr>
            <w:r w:rsidRPr="00663610">
              <w:rPr>
                <w:szCs w:val="22"/>
                <w:lang w:eastAsia="zh-CN"/>
              </w:rPr>
              <w:t>Amendments to MFRS 7</w:t>
            </w:r>
          </w:p>
        </w:tc>
        <w:tc>
          <w:tcPr>
            <w:tcW w:w="6378" w:type="dxa"/>
            <w:shd w:val="clear" w:color="auto" w:fill="auto"/>
          </w:tcPr>
          <w:p w:rsidR="00332C56" w:rsidRPr="00663610" w:rsidRDefault="00332C56" w:rsidP="00712018">
            <w:pPr>
              <w:tabs>
                <w:tab w:val="clear" w:pos="720"/>
                <w:tab w:val="clear" w:pos="1440"/>
              </w:tabs>
              <w:autoSpaceDE w:val="0"/>
              <w:autoSpaceDN w:val="0"/>
              <w:adjustRightInd w:val="0"/>
              <w:rPr>
                <w:szCs w:val="22"/>
                <w:lang w:eastAsia="zh-CN"/>
              </w:rPr>
            </w:pPr>
            <w:r w:rsidRPr="00663610">
              <w:rPr>
                <w:szCs w:val="22"/>
                <w:lang w:eastAsia="zh-CN"/>
              </w:rPr>
              <w:t>Disclosures – Offsetting Financial</w:t>
            </w:r>
            <w:r w:rsidRPr="00663610">
              <w:rPr>
                <w:rFonts w:hint="eastAsia"/>
                <w:szCs w:val="22"/>
                <w:lang w:eastAsia="zh-CN"/>
              </w:rPr>
              <w:t xml:space="preserve"> </w:t>
            </w:r>
            <w:r w:rsidRPr="00663610">
              <w:rPr>
                <w:szCs w:val="22"/>
                <w:lang w:eastAsia="zh-CN"/>
              </w:rPr>
              <w:t>Assets and Financial Liabilities</w:t>
            </w:r>
          </w:p>
        </w:tc>
      </w:tr>
      <w:tr w:rsidR="00332C56" w:rsidRPr="00663610" w:rsidTr="001249A4">
        <w:tc>
          <w:tcPr>
            <w:tcW w:w="3216" w:type="dxa"/>
            <w:shd w:val="clear" w:color="auto" w:fill="auto"/>
          </w:tcPr>
          <w:p w:rsidR="00332C56" w:rsidRPr="00663610" w:rsidRDefault="00332C56" w:rsidP="00712018">
            <w:pPr>
              <w:pStyle w:val="BodyText"/>
              <w:rPr>
                <w:szCs w:val="22"/>
                <w:lang w:eastAsia="zh-CN"/>
              </w:rPr>
            </w:pPr>
            <w:r w:rsidRPr="00663610">
              <w:rPr>
                <w:szCs w:val="22"/>
                <w:lang w:eastAsia="zh-CN"/>
              </w:rPr>
              <w:t xml:space="preserve">Amendments to MFRS </w:t>
            </w:r>
            <w:r w:rsidRPr="00663610">
              <w:rPr>
                <w:rFonts w:hint="eastAsia"/>
                <w:szCs w:val="22"/>
                <w:lang w:eastAsia="zh-CN"/>
              </w:rPr>
              <w:t>10, MFRS 11 and MFRS 12)</w:t>
            </w:r>
          </w:p>
        </w:tc>
        <w:tc>
          <w:tcPr>
            <w:tcW w:w="6378" w:type="dxa"/>
            <w:shd w:val="clear" w:color="auto" w:fill="auto"/>
          </w:tcPr>
          <w:p w:rsidR="00332C56" w:rsidRPr="00663610" w:rsidRDefault="00332C56" w:rsidP="00712018">
            <w:pPr>
              <w:tabs>
                <w:tab w:val="clear" w:pos="720"/>
                <w:tab w:val="clear" w:pos="1440"/>
              </w:tabs>
              <w:autoSpaceDE w:val="0"/>
              <w:autoSpaceDN w:val="0"/>
              <w:adjustRightInd w:val="0"/>
              <w:rPr>
                <w:szCs w:val="22"/>
                <w:lang w:eastAsia="zh-CN"/>
              </w:rPr>
            </w:pPr>
            <w:r w:rsidRPr="00663610">
              <w:rPr>
                <w:rFonts w:hint="eastAsia"/>
                <w:szCs w:val="22"/>
                <w:lang w:eastAsia="zh-CN"/>
              </w:rPr>
              <w:t>Consolidated Financial Statements, Joint Arrangements and Disclosure of Interests in Other Entities: Transition Guidance</w:t>
            </w:r>
          </w:p>
        </w:tc>
      </w:tr>
      <w:tr w:rsidR="00332C56" w:rsidRPr="00663610" w:rsidTr="001249A4">
        <w:tc>
          <w:tcPr>
            <w:tcW w:w="9594" w:type="dxa"/>
            <w:gridSpan w:val="2"/>
            <w:shd w:val="clear" w:color="auto" w:fill="auto"/>
          </w:tcPr>
          <w:p w:rsidR="00332C56" w:rsidRPr="00663610" w:rsidRDefault="00332C56" w:rsidP="00712018">
            <w:pPr>
              <w:tabs>
                <w:tab w:val="clear" w:pos="720"/>
                <w:tab w:val="clear" w:pos="1440"/>
              </w:tabs>
              <w:autoSpaceDE w:val="0"/>
              <w:autoSpaceDN w:val="0"/>
              <w:adjustRightInd w:val="0"/>
              <w:rPr>
                <w:szCs w:val="22"/>
                <w:lang w:eastAsia="zh-CN"/>
              </w:rPr>
            </w:pPr>
            <w:r w:rsidRPr="00663610">
              <w:rPr>
                <w:rFonts w:hint="eastAsia"/>
                <w:szCs w:val="22"/>
                <w:lang w:eastAsia="zh-CN"/>
              </w:rPr>
              <w:t>Annual Improvements 2009-2011 cycle issued in July 2012</w:t>
            </w:r>
          </w:p>
        </w:tc>
      </w:tr>
    </w:tbl>
    <w:p w:rsidR="00091A0C" w:rsidRPr="00663610" w:rsidRDefault="00091A0C" w:rsidP="00E051D0">
      <w:pPr>
        <w:tabs>
          <w:tab w:val="clear" w:pos="720"/>
          <w:tab w:val="clear" w:pos="1440"/>
        </w:tabs>
        <w:autoSpaceDE w:val="0"/>
        <w:autoSpaceDN w:val="0"/>
        <w:adjustRightInd w:val="0"/>
        <w:rPr>
          <w:b/>
          <w:bCs/>
          <w:szCs w:val="22"/>
          <w:lang w:eastAsia="zh-CN"/>
        </w:rPr>
      </w:pPr>
    </w:p>
    <w:p w:rsidR="0053559F" w:rsidRPr="00663610" w:rsidRDefault="0053559F" w:rsidP="00F44CA4">
      <w:pPr>
        <w:tabs>
          <w:tab w:val="clear" w:pos="720"/>
          <w:tab w:val="clear" w:pos="1440"/>
        </w:tabs>
        <w:autoSpaceDE w:val="0"/>
        <w:autoSpaceDN w:val="0"/>
        <w:adjustRightInd w:val="0"/>
        <w:ind w:left="720"/>
        <w:jc w:val="both"/>
        <w:rPr>
          <w:szCs w:val="22"/>
          <w:lang w:eastAsia="zh-CN"/>
        </w:rPr>
      </w:pPr>
      <w:r w:rsidRPr="00663610">
        <w:rPr>
          <w:szCs w:val="22"/>
          <w:lang w:eastAsia="zh-CN"/>
        </w:rPr>
        <w:t>At the date of authorisation of these interim financial s</w:t>
      </w:r>
      <w:r w:rsidR="00317F12" w:rsidRPr="00663610">
        <w:rPr>
          <w:szCs w:val="22"/>
          <w:lang w:eastAsia="zh-CN"/>
        </w:rPr>
        <w:t>tatements, the following MFRSs</w:t>
      </w:r>
      <w:r w:rsidR="00317F12" w:rsidRPr="00663610">
        <w:rPr>
          <w:rFonts w:hint="eastAsia"/>
          <w:szCs w:val="22"/>
          <w:lang w:eastAsia="zh-CN"/>
        </w:rPr>
        <w:t xml:space="preserve"> and</w:t>
      </w:r>
      <w:r w:rsidRPr="00663610">
        <w:rPr>
          <w:rFonts w:hint="eastAsia"/>
          <w:szCs w:val="22"/>
          <w:lang w:eastAsia="zh-CN"/>
        </w:rPr>
        <w:t xml:space="preserve"> </w:t>
      </w:r>
      <w:r w:rsidRPr="00663610">
        <w:rPr>
          <w:szCs w:val="22"/>
          <w:lang w:eastAsia="zh-CN"/>
        </w:rPr>
        <w:t>Amendments to MFRSs were issued but not yet effective and have not</w:t>
      </w:r>
      <w:r w:rsidRPr="00663610">
        <w:rPr>
          <w:rFonts w:hint="eastAsia"/>
          <w:szCs w:val="22"/>
          <w:lang w:eastAsia="zh-CN"/>
        </w:rPr>
        <w:t xml:space="preserve"> </w:t>
      </w:r>
      <w:r w:rsidRPr="00663610">
        <w:rPr>
          <w:szCs w:val="22"/>
          <w:lang w:eastAsia="zh-CN"/>
        </w:rPr>
        <w:t>been applied by the Group:</w:t>
      </w:r>
    </w:p>
    <w:p w:rsidR="0053559F" w:rsidRPr="00663610" w:rsidRDefault="0053559F" w:rsidP="006A08B0">
      <w:pPr>
        <w:pStyle w:val="BodyText"/>
        <w:ind w:left="720"/>
        <w:rPr>
          <w:szCs w:val="22"/>
          <w:lang w:eastAsia="zh-C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4770"/>
        <w:gridCol w:w="3078"/>
      </w:tblGrid>
      <w:tr w:rsidR="0029492E" w:rsidRPr="00663610" w:rsidTr="00317F12">
        <w:tc>
          <w:tcPr>
            <w:tcW w:w="6678" w:type="dxa"/>
            <w:gridSpan w:val="2"/>
            <w:shd w:val="clear" w:color="auto" w:fill="auto"/>
          </w:tcPr>
          <w:p w:rsidR="0029492E" w:rsidRPr="00663610" w:rsidRDefault="0029492E" w:rsidP="00317F12">
            <w:pPr>
              <w:pStyle w:val="BodyText"/>
              <w:rPr>
                <w:b/>
                <w:szCs w:val="22"/>
                <w:lang w:eastAsia="zh-CN"/>
              </w:rPr>
            </w:pPr>
            <w:r w:rsidRPr="00663610">
              <w:rPr>
                <w:rFonts w:hint="eastAsia"/>
                <w:b/>
                <w:szCs w:val="22"/>
                <w:lang w:eastAsia="zh-CN"/>
              </w:rPr>
              <w:t>MFRSs</w:t>
            </w:r>
            <w:r w:rsidR="00317F12" w:rsidRPr="00663610">
              <w:rPr>
                <w:rFonts w:hint="eastAsia"/>
                <w:b/>
                <w:szCs w:val="22"/>
                <w:lang w:eastAsia="zh-CN"/>
              </w:rPr>
              <w:t xml:space="preserve"> and</w:t>
            </w:r>
            <w:r w:rsidRPr="00663610">
              <w:rPr>
                <w:rFonts w:hint="eastAsia"/>
                <w:b/>
                <w:szCs w:val="22"/>
                <w:lang w:eastAsia="zh-CN"/>
              </w:rPr>
              <w:t xml:space="preserve"> Amendments to FRSs issued but not yet effective</w:t>
            </w:r>
          </w:p>
        </w:tc>
        <w:tc>
          <w:tcPr>
            <w:tcW w:w="3078" w:type="dxa"/>
            <w:shd w:val="clear" w:color="auto" w:fill="auto"/>
          </w:tcPr>
          <w:p w:rsidR="0029492E" w:rsidRPr="00663610" w:rsidRDefault="0029492E" w:rsidP="006A08B0">
            <w:pPr>
              <w:pStyle w:val="BodyText"/>
              <w:rPr>
                <w:b/>
                <w:szCs w:val="22"/>
                <w:lang w:eastAsia="zh-CN"/>
              </w:rPr>
            </w:pPr>
            <w:r w:rsidRPr="00663610">
              <w:rPr>
                <w:rFonts w:hint="eastAsia"/>
                <w:b/>
                <w:szCs w:val="22"/>
                <w:lang w:eastAsia="zh-CN"/>
              </w:rPr>
              <w:t>Effective for annual periods beginning on or after</w:t>
            </w:r>
          </w:p>
        </w:tc>
      </w:tr>
      <w:tr w:rsidR="001D5C5B" w:rsidRPr="00663610" w:rsidTr="003D15B9">
        <w:tc>
          <w:tcPr>
            <w:tcW w:w="1908" w:type="dxa"/>
            <w:shd w:val="clear" w:color="auto" w:fill="auto"/>
          </w:tcPr>
          <w:p w:rsidR="001D5C5B" w:rsidRDefault="00332C56" w:rsidP="003D15B9">
            <w:pPr>
              <w:pStyle w:val="BodyText"/>
              <w:rPr>
                <w:szCs w:val="22"/>
                <w:lang w:eastAsia="zh-CN"/>
              </w:rPr>
            </w:pPr>
            <w:r>
              <w:rPr>
                <w:szCs w:val="22"/>
                <w:lang w:eastAsia="zh-CN"/>
              </w:rPr>
              <w:t xml:space="preserve">Amendments to </w:t>
            </w:r>
            <w:r w:rsidR="001D5C5B">
              <w:rPr>
                <w:rFonts w:hint="eastAsia"/>
                <w:szCs w:val="22"/>
                <w:lang w:eastAsia="zh-CN"/>
              </w:rPr>
              <w:t>MFRS 10</w:t>
            </w:r>
            <w:r>
              <w:rPr>
                <w:szCs w:val="22"/>
                <w:lang w:eastAsia="zh-CN"/>
              </w:rPr>
              <w:t>, MFRS 12 and MFRS 127</w:t>
            </w:r>
          </w:p>
        </w:tc>
        <w:tc>
          <w:tcPr>
            <w:tcW w:w="4770" w:type="dxa"/>
            <w:shd w:val="clear" w:color="auto" w:fill="auto"/>
          </w:tcPr>
          <w:p w:rsidR="001D5C5B" w:rsidRDefault="001D5C5B" w:rsidP="001D5C5B">
            <w:pPr>
              <w:pStyle w:val="BodyText"/>
              <w:rPr>
                <w:szCs w:val="22"/>
                <w:lang w:eastAsia="zh-CN"/>
              </w:rPr>
            </w:pPr>
            <w:r>
              <w:rPr>
                <w:rFonts w:hint="eastAsia"/>
                <w:szCs w:val="22"/>
                <w:lang w:eastAsia="zh-CN"/>
              </w:rPr>
              <w:t xml:space="preserve">Investment Entities </w:t>
            </w:r>
          </w:p>
        </w:tc>
        <w:tc>
          <w:tcPr>
            <w:tcW w:w="3078" w:type="dxa"/>
            <w:shd w:val="clear" w:color="auto" w:fill="auto"/>
          </w:tcPr>
          <w:p w:rsidR="001D5C5B" w:rsidRPr="00663610" w:rsidRDefault="001D5C5B" w:rsidP="003D15B9">
            <w:pPr>
              <w:pStyle w:val="BodyText"/>
              <w:rPr>
                <w:szCs w:val="22"/>
                <w:lang w:eastAsia="zh-CN"/>
              </w:rPr>
            </w:pPr>
            <w:r>
              <w:rPr>
                <w:rFonts w:hint="eastAsia"/>
                <w:szCs w:val="22"/>
                <w:lang w:eastAsia="zh-CN"/>
              </w:rPr>
              <w:t>1 January 2014</w:t>
            </w:r>
          </w:p>
        </w:tc>
      </w:tr>
      <w:bookmarkEnd w:id="1"/>
      <w:bookmarkEnd w:id="2"/>
      <w:tr w:rsidR="00CC2DAE" w:rsidRPr="00663610" w:rsidTr="003D15B9">
        <w:tc>
          <w:tcPr>
            <w:tcW w:w="1908" w:type="dxa"/>
            <w:shd w:val="clear" w:color="auto" w:fill="auto"/>
          </w:tcPr>
          <w:p w:rsidR="00CC2DAE" w:rsidRPr="00663610" w:rsidRDefault="00CC2DAE" w:rsidP="003D15B9">
            <w:pPr>
              <w:pStyle w:val="BodyText"/>
              <w:rPr>
                <w:szCs w:val="22"/>
                <w:lang w:eastAsia="zh-CN"/>
              </w:rPr>
            </w:pPr>
            <w:r>
              <w:rPr>
                <w:rFonts w:hint="eastAsia"/>
                <w:szCs w:val="22"/>
                <w:lang w:eastAsia="zh-CN"/>
              </w:rPr>
              <w:t>Amendments to MFRS 132</w:t>
            </w:r>
          </w:p>
        </w:tc>
        <w:tc>
          <w:tcPr>
            <w:tcW w:w="4770" w:type="dxa"/>
            <w:shd w:val="clear" w:color="auto" w:fill="auto"/>
          </w:tcPr>
          <w:p w:rsidR="00CC2DAE" w:rsidRPr="00663610" w:rsidRDefault="00CC2DAE" w:rsidP="003D15B9">
            <w:pPr>
              <w:pStyle w:val="BodyText"/>
              <w:rPr>
                <w:szCs w:val="22"/>
                <w:lang w:eastAsia="zh-CN"/>
              </w:rPr>
            </w:pPr>
            <w:r>
              <w:rPr>
                <w:rFonts w:hint="eastAsia"/>
                <w:szCs w:val="22"/>
                <w:lang w:eastAsia="zh-CN"/>
              </w:rPr>
              <w:t xml:space="preserve">Offsetting Financial Assets and Financial Liabilities </w:t>
            </w:r>
          </w:p>
        </w:tc>
        <w:tc>
          <w:tcPr>
            <w:tcW w:w="3078" w:type="dxa"/>
            <w:shd w:val="clear" w:color="auto" w:fill="auto"/>
          </w:tcPr>
          <w:p w:rsidR="00CC2DAE" w:rsidRPr="00663610" w:rsidRDefault="00CC2DAE" w:rsidP="003D15B9">
            <w:pPr>
              <w:pStyle w:val="BodyText"/>
              <w:rPr>
                <w:szCs w:val="22"/>
                <w:lang w:eastAsia="zh-CN"/>
              </w:rPr>
            </w:pPr>
            <w:r w:rsidRPr="00663610">
              <w:rPr>
                <w:rFonts w:hint="eastAsia"/>
                <w:szCs w:val="22"/>
                <w:lang w:eastAsia="zh-CN"/>
              </w:rPr>
              <w:t>1 January 201</w:t>
            </w:r>
            <w:r>
              <w:rPr>
                <w:rFonts w:hint="eastAsia"/>
                <w:szCs w:val="22"/>
                <w:lang w:eastAsia="zh-CN"/>
              </w:rPr>
              <w:t>4</w:t>
            </w:r>
          </w:p>
        </w:tc>
      </w:tr>
      <w:tr w:rsidR="00CC2DAE" w:rsidRPr="00663610" w:rsidTr="003D15B9">
        <w:tc>
          <w:tcPr>
            <w:tcW w:w="1908" w:type="dxa"/>
            <w:shd w:val="clear" w:color="auto" w:fill="auto"/>
          </w:tcPr>
          <w:p w:rsidR="00CC2DAE" w:rsidRPr="00663610" w:rsidRDefault="00CC2DAE" w:rsidP="003D15B9">
            <w:pPr>
              <w:pStyle w:val="BodyText"/>
              <w:rPr>
                <w:szCs w:val="22"/>
                <w:lang w:eastAsia="zh-CN"/>
              </w:rPr>
            </w:pPr>
            <w:r w:rsidRPr="00663610">
              <w:rPr>
                <w:szCs w:val="22"/>
                <w:lang w:eastAsia="zh-CN"/>
              </w:rPr>
              <w:t>MFRS 9</w:t>
            </w:r>
          </w:p>
        </w:tc>
        <w:tc>
          <w:tcPr>
            <w:tcW w:w="4770" w:type="dxa"/>
            <w:shd w:val="clear" w:color="auto" w:fill="auto"/>
          </w:tcPr>
          <w:p w:rsidR="00CC2DAE" w:rsidRPr="00663610" w:rsidRDefault="00CC2DAE" w:rsidP="003D15B9">
            <w:pPr>
              <w:pStyle w:val="BodyText"/>
              <w:rPr>
                <w:szCs w:val="22"/>
                <w:lang w:eastAsia="zh-CN"/>
              </w:rPr>
            </w:pPr>
            <w:r w:rsidRPr="00663610">
              <w:rPr>
                <w:szCs w:val="22"/>
                <w:lang w:eastAsia="zh-CN"/>
              </w:rPr>
              <w:t>Financial Instruments (IFRS 9 issued by</w:t>
            </w:r>
            <w:r w:rsidRPr="00663610">
              <w:rPr>
                <w:rFonts w:hint="eastAsia"/>
                <w:szCs w:val="22"/>
                <w:lang w:eastAsia="zh-CN"/>
              </w:rPr>
              <w:t xml:space="preserve"> </w:t>
            </w:r>
            <w:r w:rsidRPr="00663610">
              <w:rPr>
                <w:szCs w:val="22"/>
                <w:lang w:eastAsia="zh-CN"/>
              </w:rPr>
              <w:t>IASB in November 2009 and October</w:t>
            </w:r>
            <w:r w:rsidRPr="00663610">
              <w:rPr>
                <w:rFonts w:hint="eastAsia"/>
                <w:szCs w:val="22"/>
                <w:lang w:eastAsia="zh-CN"/>
              </w:rPr>
              <w:t xml:space="preserve"> </w:t>
            </w:r>
            <w:r w:rsidRPr="00663610">
              <w:rPr>
                <w:szCs w:val="22"/>
                <w:lang w:eastAsia="zh-CN"/>
              </w:rPr>
              <w:t>2010)</w:t>
            </w:r>
          </w:p>
        </w:tc>
        <w:tc>
          <w:tcPr>
            <w:tcW w:w="3078" w:type="dxa"/>
            <w:shd w:val="clear" w:color="auto" w:fill="auto"/>
          </w:tcPr>
          <w:p w:rsidR="00CC2DAE" w:rsidRPr="00663610" w:rsidRDefault="00CC2DAE" w:rsidP="003D15B9">
            <w:pPr>
              <w:pStyle w:val="BodyText"/>
              <w:rPr>
                <w:szCs w:val="22"/>
                <w:lang w:eastAsia="zh-CN"/>
              </w:rPr>
            </w:pPr>
            <w:r w:rsidRPr="00663610">
              <w:rPr>
                <w:szCs w:val="22"/>
                <w:lang w:eastAsia="zh-CN"/>
              </w:rPr>
              <w:t>1 January 2015</w:t>
            </w:r>
          </w:p>
        </w:tc>
      </w:tr>
    </w:tbl>
    <w:p w:rsidR="00BC1CA0" w:rsidRDefault="00BC1CA0" w:rsidP="006A08B0">
      <w:pPr>
        <w:jc w:val="both"/>
        <w:rPr>
          <w:b/>
          <w:bCs/>
          <w:szCs w:val="22"/>
          <w:lang w:eastAsia="zh-CN"/>
        </w:rPr>
      </w:pPr>
    </w:p>
    <w:p w:rsidR="00541004" w:rsidRPr="00663610" w:rsidRDefault="00FE47F5" w:rsidP="006A08B0">
      <w:pPr>
        <w:jc w:val="both"/>
        <w:rPr>
          <w:b/>
          <w:bCs/>
          <w:szCs w:val="22"/>
          <w:lang w:eastAsia="zh-CN"/>
        </w:rPr>
      </w:pPr>
      <w:r w:rsidRPr="00663610">
        <w:rPr>
          <w:rFonts w:hint="eastAsia"/>
          <w:b/>
          <w:bCs/>
          <w:szCs w:val="22"/>
          <w:lang w:eastAsia="zh-CN"/>
        </w:rPr>
        <w:t>3</w:t>
      </w:r>
      <w:r w:rsidR="00797C43" w:rsidRPr="00663610">
        <w:rPr>
          <w:b/>
          <w:bCs/>
          <w:szCs w:val="22"/>
        </w:rPr>
        <w:t>.</w:t>
      </w:r>
      <w:r w:rsidR="00797C43" w:rsidRPr="00663610">
        <w:rPr>
          <w:b/>
          <w:bCs/>
          <w:szCs w:val="22"/>
        </w:rPr>
        <w:tab/>
      </w:r>
      <w:r w:rsidR="00541004" w:rsidRPr="00663610">
        <w:rPr>
          <w:b/>
          <w:bCs/>
          <w:szCs w:val="22"/>
        </w:rPr>
        <w:t>Audit Report of the Preceding Audited Financial Statement</w:t>
      </w:r>
      <w:r w:rsidR="00C533E7" w:rsidRPr="00663610">
        <w:rPr>
          <w:rFonts w:hint="eastAsia"/>
          <w:b/>
          <w:bCs/>
          <w:szCs w:val="22"/>
          <w:lang w:eastAsia="zh-CN"/>
        </w:rPr>
        <w:t>s</w:t>
      </w:r>
    </w:p>
    <w:p w:rsidR="00541004" w:rsidRPr="00663610" w:rsidRDefault="00541004" w:rsidP="006A08B0">
      <w:pPr>
        <w:jc w:val="both"/>
        <w:rPr>
          <w:szCs w:val="22"/>
        </w:rPr>
      </w:pPr>
    </w:p>
    <w:p w:rsidR="00541004" w:rsidRPr="00663610" w:rsidRDefault="00541004" w:rsidP="006A08B0">
      <w:pPr>
        <w:pStyle w:val="bodytest"/>
        <w:keepNext w:val="0"/>
        <w:outlineLvl w:val="9"/>
        <w:rPr>
          <w:szCs w:val="22"/>
        </w:rPr>
      </w:pPr>
      <w:r w:rsidRPr="00663610">
        <w:rPr>
          <w:szCs w:val="22"/>
        </w:rPr>
        <w:t>The auditors’ report of the preceding annual financial statement</w:t>
      </w:r>
      <w:r w:rsidR="004B2E24" w:rsidRPr="00663610">
        <w:rPr>
          <w:szCs w:val="22"/>
        </w:rPr>
        <w:t>s</w:t>
      </w:r>
      <w:r w:rsidRPr="00663610">
        <w:rPr>
          <w:szCs w:val="22"/>
        </w:rPr>
        <w:t xml:space="preserve"> </w:t>
      </w:r>
      <w:r w:rsidR="007A3350" w:rsidRPr="00663610">
        <w:rPr>
          <w:szCs w:val="22"/>
        </w:rPr>
        <w:t xml:space="preserve">of the Group </w:t>
      </w:r>
      <w:r w:rsidRPr="00663610">
        <w:rPr>
          <w:szCs w:val="22"/>
        </w:rPr>
        <w:t>was not subject to any qualification.</w:t>
      </w:r>
    </w:p>
    <w:p w:rsidR="006D69A9" w:rsidRDefault="006D69A9">
      <w:pPr>
        <w:tabs>
          <w:tab w:val="clear" w:pos="720"/>
          <w:tab w:val="clear" w:pos="1440"/>
        </w:tabs>
        <w:rPr>
          <w:szCs w:val="22"/>
          <w:lang w:eastAsia="zh-CN"/>
        </w:rPr>
      </w:pPr>
      <w:r>
        <w:rPr>
          <w:szCs w:val="22"/>
          <w:lang w:eastAsia="zh-CN"/>
        </w:rPr>
        <w:br w:type="page"/>
      </w:r>
    </w:p>
    <w:p w:rsidR="000165EB" w:rsidRPr="00663610" w:rsidRDefault="000165EB" w:rsidP="006A08B0">
      <w:pPr>
        <w:ind w:left="720"/>
        <w:jc w:val="both"/>
        <w:rPr>
          <w:szCs w:val="22"/>
          <w:lang w:eastAsia="zh-CN"/>
        </w:rPr>
      </w:pPr>
    </w:p>
    <w:p w:rsidR="00541004" w:rsidRPr="00663610" w:rsidRDefault="00FE47F5" w:rsidP="006A08B0">
      <w:pPr>
        <w:pStyle w:val="BodyText"/>
        <w:rPr>
          <w:b/>
          <w:bCs/>
          <w:szCs w:val="22"/>
        </w:rPr>
      </w:pPr>
      <w:r w:rsidRPr="00663610">
        <w:rPr>
          <w:rFonts w:hint="eastAsia"/>
          <w:b/>
          <w:bCs/>
          <w:szCs w:val="22"/>
          <w:lang w:eastAsia="zh-CN"/>
        </w:rPr>
        <w:t>4</w:t>
      </w:r>
      <w:r w:rsidR="00541004" w:rsidRPr="00663610">
        <w:rPr>
          <w:b/>
          <w:bCs/>
          <w:szCs w:val="22"/>
        </w:rPr>
        <w:t>.</w:t>
      </w:r>
      <w:r w:rsidR="00541004" w:rsidRPr="00663610">
        <w:rPr>
          <w:b/>
          <w:bCs/>
          <w:szCs w:val="22"/>
        </w:rPr>
        <w:tab/>
        <w:t>Seasonal or Cyclical Factors</w:t>
      </w:r>
    </w:p>
    <w:p w:rsidR="00541004" w:rsidRPr="00663610" w:rsidRDefault="00541004" w:rsidP="006A08B0">
      <w:pPr>
        <w:pStyle w:val="BodyText"/>
        <w:rPr>
          <w:szCs w:val="22"/>
        </w:rPr>
      </w:pPr>
    </w:p>
    <w:p w:rsidR="00541004" w:rsidRPr="00663610" w:rsidRDefault="00541004" w:rsidP="006A08B0">
      <w:pPr>
        <w:pStyle w:val="BodyText"/>
        <w:ind w:left="720"/>
        <w:rPr>
          <w:szCs w:val="22"/>
          <w:lang w:eastAsia="zh-CN"/>
        </w:rPr>
      </w:pPr>
      <w:r w:rsidRPr="00663610">
        <w:rPr>
          <w:szCs w:val="22"/>
        </w:rPr>
        <w:t>There were no seasonal or cyclical factors affecting the results of the Group for the current financial quarter under review.</w:t>
      </w:r>
    </w:p>
    <w:p w:rsidR="000165EB" w:rsidRPr="00663610" w:rsidRDefault="000165EB" w:rsidP="006A08B0">
      <w:pPr>
        <w:pStyle w:val="BodyText"/>
        <w:rPr>
          <w:b/>
          <w:bCs/>
          <w:szCs w:val="22"/>
          <w:lang w:eastAsia="zh-CN"/>
        </w:rPr>
      </w:pPr>
    </w:p>
    <w:p w:rsidR="00541004" w:rsidRPr="00663610" w:rsidRDefault="00FE47F5" w:rsidP="006A08B0">
      <w:pPr>
        <w:pStyle w:val="BodyText"/>
        <w:rPr>
          <w:b/>
          <w:bCs/>
          <w:szCs w:val="22"/>
        </w:rPr>
      </w:pPr>
      <w:r w:rsidRPr="00663610">
        <w:rPr>
          <w:rFonts w:hint="eastAsia"/>
          <w:b/>
          <w:bCs/>
          <w:szCs w:val="22"/>
          <w:lang w:eastAsia="zh-CN"/>
        </w:rPr>
        <w:t>5</w:t>
      </w:r>
      <w:r w:rsidR="00541004" w:rsidRPr="00663610">
        <w:rPr>
          <w:b/>
          <w:bCs/>
          <w:szCs w:val="22"/>
        </w:rPr>
        <w:t>.</w:t>
      </w:r>
      <w:r w:rsidR="00541004" w:rsidRPr="00663610">
        <w:rPr>
          <w:b/>
          <w:bCs/>
          <w:szCs w:val="22"/>
        </w:rPr>
        <w:tab/>
        <w:t>Unusual Items</w:t>
      </w:r>
    </w:p>
    <w:p w:rsidR="00541004" w:rsidRPr="00663610" w:rsidRDefault="00541004" w:rsidP="006A08B0">
      <w:pPr>
        <w:pStyle w:val="BodyText"/>
        <w:rPr>
          <w:szCs w:val="22"/>
        </w:rPr>
      </w:pPr>
    </w:p>
    <w:p w:rsidR="00541004" w:rsidRPr="00663610" w:rsidRDefault="00541004" w:rsidP="007A3350">
      <w:pPr>
        <w:pStyle w:val="BodyText"/>
        <w:ind w:left="720"/>
        <w:rPr>
          <w:szCs w:val="22"/>
        </w:rPr>
      </w:pPr>
      <w:r w:rsidRPr="00663610">
        <w:rPr>
          <w:szCs w:val="22"/>
        </w:rPr>
        <w:t xml:space="preserve">There </w:t>
      </w:r>
      <w:r w:rsidR="007A3350" w:rsidRPr="00663610">
        <w:rPr>
          <w:szCs w:val="22"/>
        </w:rPr>
        <w:t xml:space="preserve">were </w:t>
      </w:r>
      <w:r w:rsidRPr="00663610">
        <w:rPr>
          <w:szCs w:val="22"/>
        </w:rPr>
        <w:t>no item</w:t>
      </w:r>
      <w:r w:rsidR="007A3350" w:rsidRPr="00663610">
        <w:rPr>
          <w:szCs w:val="22"/>
        </w:rPr>
        <w:t>s or events that arose,</w:t>
      </w:r>
      <w:r w:rsidRPr="00663610">
        <w:rPr>
          <w:szCs w:val="22"/>
        </w:rPr>
        <w:t xml:space="preserve"> which is unusual because of its nature, size, or incidence that has affected the assets, liabilities, equity, net income or cash</w:t>
      </w:r>
      <w:r w:rsidR="00256D06" w:rsidRPr="00663610">
        <w:rPr>
          <w:szCs w:val="22"/>
        </w:rPr>
        <w:t xml:space="preserve"> </w:t>
      </w:r>
      <w:r w:rsidRPr="00663610">
        <w:rPr>
          <w:szCs w:val="22"/>
        </w:rPr>
        <w:t>flow</w:t>
      </w:r>
      <w:r w:rsidR="00F27355" w:rsidRPr="00663610">
        <w:rPr>
          <w:szCs w:val="22"/>
        </w:rPr>
        <w:t>s</w:t>
      </w:r>
      <w:r w:rsidRPr="00663610">
        <w:rPr>
          <w:szCs w:val="22"/>
        </w:rPr>
        <w:t xml:space="preserve"> of the Group for the current financial quarter under review. </w:t>
      </w:r>
    </w:p>
    <w:p w:rsidR="00871810" w:rsidRPr="00663610" w:rsidRDefault="00871810" w:rsidP="006A08B0">
      <w:pPr>
        <w:pStyle w:val="BodyText"/>
        <w:rPr>
          <w:b/>
          <w:bCs/>
          <w:szCs w:val="22"/>
          <w:lang w:eastAsia="zh-CN"/>
        </w:rPr>
      </w:pPr>
    </w:p>
    <w:p w:rsidR="00541004" w:rsidRPr="00663610" w:rsidRDefault="00FE47F5" w:rsidP="006A08B0">
      <w:pPr>
        <w:pStyle w:val="BodyText"/>
        <w:rPr>
          <w:b/>
          <w:bCs/>
          <w:szCs w:val="22"/>
        </w:rPr>
      </w:pPr>
      <w:r w:rsidRPr="00663610">
        <w:rPr>
          <w:rFonts w:hint="eastAsia"/>
          <w:b/>
          <w:bCs/>
          <w:szCs w:val="22"/>
          <w:lang w:eastAsia="zh-CN"/>
        </w:rPr>
        <w:t>6</w:t>
      </w:r>
      <w:r w:rsidR="00541004" w:rsidRPr="00663610">
        <w:rPr>
          <w:b/>
          <w:bCs/>
          <w:szCs w:val="22"/>
        </w:rPr>
        <w:t>.</w:t>
      </w:r>
      <w:r w:rsidR="00541004" w:rsidRPr="00663610">
        <w:rPr>
          <w:b/>
          <w:bCs/>
          <w:szCs w:val="22"/>
        </w:rPr>
        <w:tab/>
        <w:t>Material Changes in Estimates</w:t>
      </w:r>
    </w:p>
    <w:p w:rsidR="00541004" w:rsidRPr="00663610" w:rsidRDefault="00541004" w:rsidP="006A08B0">
      <w:pPr>
        <w:pStyle w:val="BodyText"/>
        <w:rPr>
          <w:szCs w:val="22"/>
        </w:rPr>
      </w:pPr>
    </w:p>
    <w:p w:rsidR="00541004" w:rsidRPr="00663610" w:rsidRDefault="00541004" w:rsidP="007A3350">
      <w:pPr>
        <w:pStyle w:val="BodyText"/>
        <w:ind w:left="720"/>
        <w:rPr>
          <w:szCs w:val="22"/>
        </w:rPr>
      </w:pPr>
      <w:r w:rsidRPr="00663610">
        <w:rPr>
          <w:szCs w:val="22"/>
        </w:rPr>
        <w:t xml:space="preserve">There were no </w:t>
      </w:r>
      <w:r w:rsidR="00A154BF" w:rsidRPr="00663610">
        <w:rPr>
          <w:szCs w:val="22"/>
        </w:rPr>
        <w:t xml:space="preserve">material </w:t>
      </w:r>
      <w:r w:rsidRPr="00663610">
        <w:rPr>
          <w:szCs w:val="22"/>
        </w:rPr>
        <w:t xml:space="preserve">changes in estimates of amounts </w:t>
      </w:r>
      <w:r w:rsidR="00A154BF" w:rsidRPr="00663610">
        <w:rPr>
          <w:szCs w:val="22"/>
        </w:rPr>
        <w:t xml:space="preserve">reported in prior financial years </w:t>
      </w:r>
      <w:r w:rsidRPr="00663610">
        <w:rPr>
          <w:szCs w:val="22"/>
        </w:rPr>
        <w:t xml:space="preserve">that have material effect on the current financial quarter </w:t>
      </w:r>
      <w:r w:rsidR="007A3350" w:rsidRPr="00663610">
        <w:rPr>
          <w:szCs w:val="22"/>
        </w:rPr>
        <w:t>under review</w:t>
      </w:r>
      <w:r w:rsidRPr="00663610">
        <w:rPr>
          <w:szCs w:val="22"/>
        </w:rPr>
        <w:t>.</w:t>
      </w:r>
    </w:p>
    <w:p w:rsidR="00541004" w:rsidRPr="00663610" w:rsidRDefault="00541004" w:rsidP="006A08B0">
      <w:pPr>
        <w:pStyle w:val="BodyText"/>
        <w:ind w:left="720"/>
        <w:rPr>
          <w:szCs w:val="22"/>
          <w:lang w:eastAsia="zh-CN"/>
        </w:rPr>
      </w:pPr>
    </w:p>
    <w:p w:rsidR="00B308F8" w:rsidRPr="00663610" w:rsidRDefault="00B308F8" w:rsidP="006A08B0">
      <w:pPr>
        <w:pStyle w:val="BodyText"/>
        <w:ind w:left="720"/>
        <w:rPr>
          <w:szCs w:val="22"/>
          <w:lang w:eastAsia="zh-CN"/>
        </w:rPr>
      </w:pPr>
    </w:p>
    <w:p w:rsidR="00541004" w:rsidRPr="00C374B1" w:rsidRDefault="00FE47F5" w:rsidP="006A08B0">
      <w:pPr>
        <w:pStyle w:val="BodyText"/>
        <w:rPr>
          <w:b/>
          <w:bCs/>
          <w:szCs w:val="22"/>
        </w:rPr>
      </w:pPr>
      <w:r w:rsidRPr="00663610">
        <w:rPr>
          <w:rFonts w:hint="eastAsia"/>
          <w:b/>
          <w:bCs/>
          <w:szCs w:val="22"/>
          <w:lang w:eastAsia="zh-CN"/>
        </w:rPr>
        <w:t>7</w:t>
      </w:r>
      <w:r w:rsidR="00541004" w:rsidRPr="00663610">
        <w:rPr>
          <w:b/>
          <w:bCs/>
          <w:szCs w:val="22"/>
        </w:rPr>
        <w:t>.</w:t>
      </w:r>
      <w:r w:rsidR="00541004" w:rsidRPr="00663610">
        <w:rPr>
          <w:b/>
          <w:bCs/>
          <w:szCs w:val="22"/>
        </w:rPr>
        <w:tab/>
      </w:r>
      <w:r w:rsidR="00541004" w:rsidRPr="001D329D">
        <w:rPr>
          <w:b/>
          <w:bCs/>
          <w:szCs w:val="22"/>
        </w:rPr>
        <w:t>Changes in Debts and Equity Securities</w:t>
      </w:r>
    </w:p>
    <w:p w:rsidR="00541004" w:rsidRPr="00C374B1" w:rsidRDefault="00541004" w:rsidP="006A08B0">
      <w:pPr>
        <w:pStyle w:val="BodyText"/>
        <w:ind w:left="720"/>
        <w:rPr>
          <w:szCs w:val="22"/>
          <w:lang w:eastAsia="zh-CN"/>
        </w:rPr>
      </w:pPr>
    </w:p>
    <w:p w:rsidR="00C31E51" w:rsidRPr="00663610" w:rsidRDefault="0026443F" w:rsidP="00C31E51">
      <w:pPr>
        <w:tabs>
          <w:tab w:val="clear" w:pos="720"/>
          <w:tab w:val="clear" w:pos="1440"/>
        </w:tabs>
        <w:autoSpaceDE w:val="0"/>
        <w:autoSpaceDN w:val="0"/>
        <w:adjustRightInd w:val="0"/>
        <w:ind w:left="720"/>
        <w:jc w:val="both"/>
        <w:rPr>
          <w:szCs w:val="22"/>
          <w:lang w:eastAsia="zh-CN"/>
        </w:rPr>
      </w:pPr>
      <w:r>
        <w:rPr>
          <w:szCs w:val="22"/>
        </w:rPr>
        <w:t>T</w:t>
      </w:r>
      <w:r w:rsidR="00C31E51" w:rsidRPr="00663610">
        <w:rPr>
          <w:szCs w:val="22"/>
        </w:rPr>
        <w:t>here were no issuance and repayment of debt and equity securities, share buy-backs and share cancellation, for the current financial quarter under review.</w:t>
      </w:r>
    </w:p>
    <w:p w:rsidR="00871810" w:rsidRPr="00663610" w:rsidRDefault="00871810" w:rsidP="000F532C">
      <w:pPr>
        <w:tabs>
          <w:tab w:val="clear" w:pos="720"/>
          <w:tab w:val="clear" w:pos="1440"/>
        </w:tabs>
        <w:autoSpaceDE w:val="0"/>
        <w:autoSpaceDN w:val="0"/>
        <w:adjustRightInd w:val="0"/>
        <w:ind w:left="720"/>
        <w:jc w:val="both"/>
        <w:rPr>
          <w:szCs w:val="22"/>
          <w:lang w:eastAsia="zh-CN"/>
        </w:rPr>
      </w:pPr>
    </w:p>
    <w:p w:rsidR="00541004" w:rsidRPr="00663610" w:rsidRDefault="00FE47F5" w:rsidP="006A08B0">
      <w:pPr>
        <w:pStyle w:val="BodyText"/>
        <w:rPr>
          <w:b/>
          <w:bCs/>
          <w:szCs w:val="22"/>
          <w:lang w:eastAsia="zh-CN"/>
        </w:rPr>
      </w:pPr>
      <w:r w:rsidRPr="00663610">
        <w:rPr>
          <w:rFonts w:hint="eastAsia"/>
          <w:b/>
          <w:bCs/>
          <w:szCs w:val="22"/>
          <w:lang w:eastAsia="zh-CN"/>
        </w:rPr>
        <w:t>8</w:t>
      </w:r>
      <w:r w:rsidR="00541004" w:rsidRPr="00663610">
        <w:rPr>
          <w:b/>
          <w:bCs/>
          <w:szCs w:val="22"/>
        </w:rPr>
        <w:t>.</w:t>
      </w:r>
      <w:r w:rsidR="00541004" w:rsidRPr="00663610">
        <w:rPr>
          <w:b/>
          <w:bCs/>
          <w:szCs w:val="22"/>
        </w:rPr>
        <w:tab/>
      </w:r>
      <w:r w:rsidR="00541004" w:rsidRPr="001D329D">
        <w:rPr>
          <w:b/>
          <w:bCs/>
          <w:szCs w:val="22"/>
        </w:rPr>
        <w:t xml:space="preserve">Dividend </w:t>
      </w:r>
      <w:r w:rsidR="00F846C0" w:rsidRPr="001D329D">
        <w:rPr>
          <w:b/>
          <w:bCs/>
          <w:szCs w:val="22"/>
        </w:rPr>
        <w:t>Declared</w:t>
      </w:r>
      <w:r w:rsidR="002E6F18" w:rsidRPr="001D329D">
        <w:rPr>
          <w:b/>
          <w:bCs/>
          <w:szCs w:val="22"/>
        </w:rPr>
        <w:t>/</w:t>
      </w:r>
      <w:r w:rsidR="00541004" w:rsidRPr="001D329D">
        <w:rPr>
          <w:b/>
          <w:bCs/>
          <w:szCs w:val="22"/>
        </w:rPr>
        <w:t>Paid</w:t>
      </w:r>
    </w:p>
    <w:p w:rsidR="0095432E" w:rsidRPr="00663610" w:rsidRDefault="0095432E" w:rsidP="006A08B0">
      <w:pPr>
        <w:pStyle w:val="BodyText"/>
        <w:rPr>
          <w:b/>
          <w:bCs/>
          <w:szCs w:val="22"/>
          <w:lang w:eastAsia="zh-CN"/>
        </w:rPr>
      </w:pPr>
    </w:p>
    <w:p w:rsidR="0095432E" w:rsidRPr="00663610" w:rsidRDefault="0095432E" w:rsidP="0095432E">
      <w:pPr>
        <w:pStyle w:val="BodyText"/>
        <w:ind w:left="720"/>
        <w:rPr>
          <w:bCs/>
          <w:szCs w:val="22"/>
          <w:lang w:eastAsia="zh-CN"/>
        </w:rPr>
      </w:pPr>
      <w:r w:rsidRPr="00663610">
        <w:rPr>
          <w:rFonts w:hint="eastAsia"/>
          <w:bCs/>
          <w:szCs w:val="22"/>
          <w:lang w:eastAsia="zh-CN"/>
        </w:rPr>
        <w:t>The</w:t>
      </w:r>
      <w:r w:rsidR="00F9347D">
        <w:rPr>
          <w:rFonts w:hint="eastAsia"/>
          <w:bCs/>
          <w:szCs w:val="22"/>
          <w:lang w:eastAsia="zh-CN"/>
        </w:rPr>
        <w:t xml:space="preserve">re was no </w:t>
      </w:r>
      <w:r w:rsidRPr="00663610">
        <w:rPr>
          <w:rFonts w:hint="eastAsia"/>
          <w:bCs/>
          <w:szCs w:val="22"/>
          <w:lang w:eastAsia="zh-CN"/>
        </w:rPr>
        <w:t>dividend</w:t>
      </w:r>
      <w:r w:rsidR="00F846C0" w:rsidRPr="00663610">
        <w:rPr>
          <w:bCs/>
          <w:szCs w:val="22"/>
          <w:lang w:eastAsia="zh-CN"/>
        </w:rPr>
        <w:t xml:space="preserve"> declared</w:t>
      </w:r>
      <w:r w:rsidR="002E6F18" w:rsidRPr="00663610">
        <w:rPr>
          <w:bCs/>
          <w:szCs w:val="22"/>
          <w:lang w:eastAsia="zh-CN"/>
        </w:rPr>
        <w:t>/</w:t>
      </w:r>
      <w:r w:rsidRPr="00663610">
        <w:rPr>
          <w:rFonts w:hint="eastAsia"/>
          <w:bCs/>
          <w:szCs w:val="22"/>
          <w:lang w:eastAsia="zh-CN"/>
        </w:rPr>
        <w:t xml:space="preserve">paid during the current financial quarter </w:t>
      </w:r>
      <w:r w:rsidR="00F9347D">
        <w:rPr>
          <w:rFonts w:hint="eastAsia"/>
          <w:bCs/>
          <w:szCs w:val="22"/>
          <w:lang w:eastAsia="zh-CN"/>
        </w:rPr>
        <w:t>under review.</w:t>
      </w:r>
    </w:p>
    <w:p w:rsidR="00FA6A16" w:rsidRDefault="00FA6A16" w:rsidP="002720B0">
      <w:pPr>
        <w:rPr>
          <w:szCs w:val="22"/>
          <w:lang w:eastAsia="zh-CN"/>
        </w:rPr>
      </w:pPr>
    </w:p>
    <w:p w:rsidR="00541004" w:rsidRPr="00663610" w:rsidRDefault="00E75F61" w:rsidP="00E56779">
      <w:pPr>
        <w:pStyle w:val="BodyText"/>
        <w:numPr>
          <w:ilvl w:val="0"/>
          <w:numId w:val="6"/>
        </w:numPr>
        <w:tabs>
          <w:tab w:val="clear" w:pos="1080"/>
          <w:tab w:val="clear" w:pos="1440"/>
        </w:tabs>
        <w:ind w:left="720" w:hanging="720"/>
        <w:rPr>
          <w:b/>
          <w:bCs/>
          <w:szCs w:val="22"/>
        </w:rPr>
      </w:pPr>
      <w:r w:rsidRPr="00663610">
        <w:rPr>
          <w:rFonts w:hint="eastAsia"/>
          <w:b/>
          <w:bCs/>
          <w:szCs w:val="22"/>
          <w:lang w:eastAsia="zh-CN"/>
        </w:rPr>
        <w:t>S</w:t>
      </w:r>
      <w:r w:rsidR="00541004" w:rsidRPr="00663610">
        <w:rPr>
          <w:b/>
          <w:bCs/>
          <w:szCs w:val="22"/>
        </w:rPr>
        <w:t>egmental Reporting</w:t>
      </w:r>
    </w:p>
    <w:p w:rsidR="00A912DB" w:rsidRPr="00663610" w:rsidRDefault="00A912DB" w:rsidP="00A912DB">
      <w:pPr>
        <w:pStyle w:val="bodytest"/>
        <w:keepNext w:val="0"/>
        <w:outlineLvl w:val="9"/>
        <w:rPr>
          <w:szCs w:val="22"/>
          <w:lang w:eastAsia="zh-CN"/>
        </w:rPr>
      </w:pPr>
    </w:p>
    <w:p w:rsidR="00A912DB" w:rsidRPr="00663610" w:rsidRDefault="00A912DB" w:rsidP="00A912DB">
      <w:pPr>
        <w:pStyle w:val="bodytest"/>
        <w:keepNext w:val="0"/>
        <w:outlineLvl w:val="9"/>
        <w:rPr>
          <w:szCs w:val="22"/>
        </w:rPr>
      </w:pPr>
      <w:r w:rsidRPr="00663610">
        <w:rPr>
          <w:szCs w:val="22"/>
        </w:rPr>
        <w:t>The segmental result of the Group for the current financial quarter under review is set out below:</w:t>
      </w:r>
    </w:p>
    <w:p w:rsidR="00065A6C" w:rsidRPr="00663610" w:rsidRDefault="00065A6C" w:rsidP="00AD4592">
      <w:pPr>
        <w:pStyle w:val="bodytest"/>
        <w:keepNext w:val="0"/>
        <w:outlineLvl w:val="9"/>
        <w:rPr>
          <w:szCs w:val="22"/>
          <w:lang w:eastAsia="zh-CN"/>
        </w:rPr>
      </w:pPr>
    </w:p>
    <w:p w:rsidR="00E157C0" w:rsidRPr="00663610" w:rsidRDefault="001575ED" w:rsidP="00E157C0">
      <w:pPr>
        <w:pStyle w:val="bodytest"/>
        <w:keepNext w:val="0"/>
        <w:outlineLvl w:val="9"/>
        <w:rPr>
          <w:b/>
          <w:szCs w:val="22"/>
          <w:u w:val="single"/>
          <w:lang w:eastAsia="zh-CN"/>
        </w:rPr>
      </w:pPr>
      <w:r w:rsidRPr="00663610">
        <w:rPr>
          <w:rFonts w:hint="eastAsia"/>
          <w:b/>
          <w:szCs w:val="22"/>
          <w:u w:val="single"/>
          <w:lang w:eastAsia="zh-CN"/>
        </w:rPr>
        <w:t>3</w:t>
      </w:r>
      <w:r w:rsidR="00E157C0" w:rsidRPr="00663610">
        <w:rPr>
          <w:rFonts w:hint="eastAsia"/>
          <w:b/>
          <w:szCs w:val="22"/>
          <w:u w:val="single"/>
          <w:lang w:eastAsia="zh-CN"/>
        </w:rPr>
        <w:t xml:space="preserve"> months ended 3</w:t>
      </w:r>
      <w:r w:rsidR="003B6E90">
        <w:rPr>
          <w:b/>
          <w:szCs w:val="22"/>
          <w:u w:val="single"/>
          <w:lang w:eastAsia="zh-CN"/>
        </w:rPr>
        <w:t>1</w:t>
      </w:r>
      <w:r w:rsidR="00E157C0" w:rsidRPr="00663610">
        <w:rPr>
          <w:rFonts w:hint="eastAsia"/>
          <w:b/>
          <w:szCs w:val="22"/>
          <w:u w:val="single"/>
          <w:lang w:eastAsia="zh-CN"/>
        </w:rPr>
        <w:t xml:space="preserve"> </w:t>
      </w:r>
      <w:r w:rsidR="00704EF8">
        <w:rPr>
          <w:b/>
          <w:szCs w:val="22"/>
          <w:u w:val="single"/>
          <w:lang w:eastAsia="zh-CN"/>
        </w:rPr>
        <w:t>March</w:t>
      </w:r>
      <w:r w:rsidR="00E157C0" w:rsidRPr="00663610">
        <w:rPr>
          <w:rFonts w:hint="eastAsia"/>
          <w:b/>
          <w:szCs w:val="22"/>
          <w:u w:val="single"/>
          <w:lang w:eastAsia="zh-CN"/>
        </w:rPr>
        <w:t xml:space="preserve"> 201</w:t>
      </w:r>
      <w:r w:rsidR="00704EF8">
        <w:rPr>
          <w:b/>
          <w:szCs w:val="22"/>
          <w:u w:val="single"/>
          <w:lang w:eastAsia="zh-CN"/>
        </w:rPr>
        <w:t>3</w:t>
      </w:r>
    </w:p>
    <w:p w:rsidR="00E157C0" w:rsidRPr="00663610" w:rsidRDefault="00E157C0" w:rsidP="00AD4592">
      <w:pPr>
        <w:pStyle w:val="bodytest"/>
        <w:keepNext w:val="0"/>
        <w:outlineLvl w:val="9"/>
        <w:rPr>
          <w:szCs w:val="22"/>
          <w:lang w:eastAsia="zh-CN"/>
        </w:rPr>
      </w:pPr>
    </w:p>
    <w:tbl>
      <w:tblPr>
        <w:tblW w:w="8819" w:type="dxa"/>
        <w:tblInd w:w="738" w:type="dxa"/>
        <w:tblLayout w:type="fixed"/>
        <w:tblLook w:val="0000" w:firstRow="0" w:lastRow="0" w:firstColumn="0" w:lastColumn="0" w:noHBand="0" w:noVBand="0"/>
      </w:tblPr>
      <w:tblGrid>
        <w:gridCol w:w="6"/>
        <w:gridCol w:w="2673"/>
        <w:gridCol w:w="1371"/>
        <w:gridCol w:w="1653"/>
        <w:gridCol w:w="1693"/>
        <w:gridCol w:w="1334"/>
        <w:gridCol w:w="89"/>
      </w:tblGrid>
      <w:tr w:rsidR="001575ED" w:rsidRPr="00663610" w:rsidTr="00006531">
        <w:trPr>
          <w:gridAfter w:val="1"/>
          <w:wAfter w:w="89" w:type="dxa"/>
        </w:trPr>
        <w:tc>
          <w:tcPr>
            <w:tcW w:w="2679" w:type="dxa"/>
            <w:gridSpan w:val="2"/>
          </w:tcPr>
          <w:p w:rsidR="001575ED" w:rsidRPr="00663610" w:rsidRDefault="001575ED" w:rsidP="007D63EE">
            <w:pPr>
              <w:jc w:val="both"/>
              <w:rPr>
                <w:szCs w:val="22"/>
              </w:rPr>
            </w:pPr>
          </w:p>
        </w:tc>
        <w:tc>
          <w:tcPr>
            <w:tcW w:w="1371" w:type="dxa"/>
          </w:tcPr>
          <w:p w:rsidR="001575ED" w:rsidRPr="00663610" w:rsidRDefault="001575ED" w:rsidP="007D63EE">
            <w:pPr>
              <w:jc w:val="right"/>
              <w:rPr>
                <w:szCs w:val="22"/>
              </w:rPr>
            </w:pPr>
            <w:r w:rsidRPr="00663610">
              <w:rPr>
                <w:szCs w:val="22"/>
              </w:rPr>
              <w:t>Investment Holding</w:t>
            </w:r>
          </w:p>
        </w:tc>
        <w:tc>
          <w:tcPr>
            <w:tcW w:w="1653" w:type="dxa"/>
          </w:tcPr>
          <w:p w:rsidR="001575ED" w:rsidRPr="00663610" w:rsidRDefault="001575ED" w:rsidP="007D63EE">
            <w:pPr>
              <w:jc w:val="right"/>
              <w:rPr>
                <w:szCs w:val="22"/>
              </w:rPr>
            </w:pPr>
            <w:r w:rsidRPr="00663610">
              <w:rPr>
                <w:szCs w:val="22"/>
              </w:rPr>
              <w:t>Manufacturing of Polymeric product</w:t>
            </w:r>
          </w:p>
        </w:tc>
        <w:tc>
          <w:tcPr>
            <w:tcW w:w="1693" w:type="dxa"/>
          </w:tcPr>
          <w:p w:rsidR="001575ED" w:rsidRPr="00663610" w:rsidRDefault="001575ED" w:rsidP="007D63EE">
            <w:pPr>
              <w:jc w:val="right"/>
              <w:rPr>
                <w:szCs w:val="22"/>
              </w:rPr>
            </w:pPr>
            <w:r w:rsidRPr="00663610">
              <w:rPr>
                <w:szCs w:val="22"/>
              </w:rPr>
              <w:t>Manufacturing of Oleochemical product</w:t>
            </w:r>
          </w:p>
        </w:tc>
        <w:tc>
          <w:tcPr>
            <w:tcW w:w="1334" w:type="dxa"/>
          </w:tcPr>
          <w:p w:rsidR="001575ED" w:rsidRPr="00663610" w:rsidRDefault="001575ED" w:rsidP="007D63EE">
            <w:pPr>
              <w:jc w:val="right"/>
              <w:rPr>
                <w:szCs w:val="22"/>
              </w:rPr>
            </w:pPr>
            <w:r w:rsidRPr="00663610">
              <w:rPr>
                <w:szCs w:val="22"/>
              </w:rPr>
              <w:t>Total</w:t>
            </w:r>
          </w:p>
        </w:tc>
      </w:tr>
      <w:tr w:rsidR="001575ED" w:rsidRPr="00663610" w:rsidTr="00006531">
        <w:trPr>
          <w:gridAfter w:val="1"/>
          <w:wAfter w:w="89" w:type="dxa"/>
        </w:trPr>
        <w:tc>
          <w:tcPr>
            <w:tcW w:w="2679" w:type="dxa"/>
            <w:gridSpan w:val="2"/>
          </w:tcPr>
          <w:p w:rsidR="001575ED" w:rsidRPr="00663610" w:rsidRDefault="001575ED" w:rsidP="007D63EE">
            <w:pPr>
              <w:jc w:val="both"/>
              <w:rPr>
                <w:szCs w:val="22"/>
              </w:rPr>
            </w:pPr>
          </w:p>
        </w:tc>
        <w:tc>
          <w:tcPr>
            <w:tcW w:w="1371" w:type="dxa"/>
          </w:tcPr>
          <w:p w:rsidR="001575ED" w:rsidRPr="00663610" w:rsidRDefault="001575ED" w:rsidP="007D63EE">
            <w:pPr>
              <w:jc w:val="right"/>
              <w:rPr>
                <w:szCs w:val="22"/>
              </w:rPr>
            </w:pPr>
            <w:r w:rsidRPr="00663610">
              <w:rPr>
                <w:szCs w:val="22"/>
              </w:rPr>
              <w:t>RM’000</w:t>
            </w:r>
          </w:p>
        </w:tc>
        <w:tc>
          <w:tcPr>
            <w:tcW w:w="1653" w:type="dxa"/>
          </w:tcPr>
          <w:p w:rsidR="001575ED" w:rsidRPr="00663610" w:rsidRDefault="001575ED" w:rsidP="007D63EE">
            <w:pPr>
              <w:jc w:val="right"/>
              <w:rPr>
                <w:szCs w:val="22"/>
              </w:rPr>
            </w:pPr>
            <w:r w:rsidRPr="00663610">
              <w:rPr>
                <w:szCs w:val="22"/>
              </w:rPr>
              <w:t>RM’000</w:t>
            </w:r>
          </w:p>
        </w:tc>
        <w:tc>
          <w:tcPr>
            <w:tcW w:w="1693" w:type="dxa"/>
          </w:tcPr>
          <w:p w:rsidR="001575ED" w:rsidRPr="00663610" w:rsidRDefault="001575ED" w:rsidP="007D63EE">
            <w:pPr>
              <w:jc w:val="right"/>
              <w:rPr>
                <w:szCs w:val="22"/>
              </w:rPr>
            </w:pPr>
            <w:r w:rsidRPr="00663610">
              <w:rPr>
                <w:szCs w:val="22"/>
              </w:rPr>
              <w:t>RM’000</w:t>
            </w:r>
          </w:p>
        </w:tc>
        <w:tc>
          <w:tcPr>
            <w:tcW w:w="1334" w:type="dxa"/>
          </w:tcPr>
          <w:p w:rsidR="001575ED" w:rsidRPr="00663610" w:rsidRDefault="001575ED" w:rsidP="007D63EE">
            <w:pPr>
              <w:jc w:val="right"/>
              <w:rPr>
                <w:szCs w:val="22"/>
              </w:rPr>
            </w:pPr>
            <w:r w:rsidRPr="00663610">
              <w:rPr>
                <w:szCs w:val="22"/>
              </w:rPr>
              <w:t>RM’000</w:t>
            </w:r>
          </w:p>
        </w:tc>
      </w:tr>
      <w:tr w:rsidR="001575ED" w:rsidRPr="00663610" w:rsidTr="00006531">
        <w:trPr>
          <w:gridAfter w:val="1"/>
          <w:wAfter w:w="89" w:type="dxa"/>
        </w:trPr>
        <w:tc>
          <w:tcPr>
            <w:tcW w:w="2679" w:type="dxa"/>
            <w:gridSpan w:val="2"/>
          </w:tcPr>
          <w:p w:rsidR="001575ED" w:rsidRPr="00663610" w:rsidRDefault="001575ED" w:rsidP="007D63EE">
            <w:pPr>
              <w:rPr>
                <w:b/>
                <w:szCs w:val="22"/>
              </w:rPr>
            </w:pPr>
            <w:r w:rsidRPr="00663610">
              <w:rPr>
                <w:b/>
                <w:szCs w:val="22"/>
              </w:rPr>
              <w:t>REVENUE</w:t>
            </w:r>
          </w:p>
        </w:tc>
        <w:tc>
          <w:tcPr>
            <w:tcW w:w="1371" w:type="dxa"/>
          </w:tcPr>
          <w:p w:rsidR="001575ED" w:rsidRPr="00663610" w:rsidRDefault="001575ED" w:rsidP="007D63EE">
            <w:pPr>
              <w:jc w:val="right"/>
              <w:rPr>
                <w:szCs w:val="22"/>
              </w:rPr>
            </w:pPr>
          </w:p>
        </w:tc>
        <w:tc>
          <w:tcPr>
            <w:tcW w:w="1653" w:type="dxa"/>
          </w:tcPr>
          <w:p w:rsidR="001575ED" w:rsidRPr="00663610" w:rsidRDefault="001575ED" w:rsidP="007D63EE">
            <w:pPr>
              <w:jc w:val="right"/>
              <w:rPr>
                <w:szCs w:val="22"/>
              </w:rPr>
            </w:pPr>
          </w:p>
        </w:tc>
        <w:tc>
          <w:tcPr>
            <w:tcW w:w="1693" w:type="dxa"/>
          </w:tcPr>
          <w:p w:rsidR="001575ED" w:rsidRPr="00663610" w:rsidRDefault="001575ED" w:rsidP="007D63EE">
            <w:pPr>
              <w:jc w:val="right"/>
              <w:rPr>
                <w:szCs w:val="22"/>
              </w:rPr>
            </w:pPr>
          </w:p>
        </w:tc>
        <w:tc>
          <w:tcPr>
            <w:tcW w:w="1334" w:type="dxa"/>
          </w:tcPr>
          <w:p w:rsidR="001575ED" w:rsidRPr="00663610" w:rsidRDefault="001575ED" w:rsidP="007D63EE">
            <w:pPr>
              <w:jc w:val="right"/>
              <w:rPr>
                <w:szCs w:val="22"/>
              </w:rPr>
            </w:pPr>
          </w:p>
        </w:tc>
      </w:tr>
      <w:tr w:rsidR="001575ED" w:rsidRPr="00663610" w:rsidTr="00006531">
        <w:trPr>
          <w:gridAfter w:val="1"/>
          <w:wAfter w:w="89" w:type="dxa"/>
        </w:trPr>
        <w:tc>
          <w:tcPr>
            <w:tcW w:w="2679" w:type="dxa"/>
            <w:gridSpan w:val="2"/>
          </w:tcPr>
          <w:p w:rsidR="001575ED" w:rsidRPr="00663610" w:rsidRDefault="001575ED" w:rsidP="001575ED">
            <w:pPr>
              <w:rPr>
                <w:szCs w:val="22"/>
                <w:lang w:eastAsia="zh-CN"/>
              </w:rPr>
            </w:pPr>
            <w:r w:rsidRPr="00663610">
              <w:rPr>
                <w:rFonts w:hint="eastAsia"/>
                <w:szCs w:val="22"/>
                <w:lang w:eastAsia="zh-CN"/>
              </w:rPr>
              <w:t>Sales (Gross)</w:t>
            </w:r>
          </w:p>
        </w:tc>
        <w:tc>
          <w:tcPr>
            <w:tcW w:w="1371" w:type="dxa"/>
          </w:tcPr>
          <w:p w:rsidR="001575ED" w:rsidRPr="00663610" w:rsidRDefault="00704EF8" w:rsidP="007F7D22">
            <w:pPr>
              <w:tabs>
                <w:tab w:val="clear" w:pos="720"/>
                <w:tab w:val="clear" w:pos="1440"/>
                <w:tab w:val="decimal" w:pos="1083"/>
              </w:tabs>
              <w:jc w:val="both"/>
              <w:rPr>
                <w:szCs w:val="22"/>
                <w:lang w:eastAsia="zh-CN"/>
              </w:rPr>
            </w:pPr>
            <w:r>
              <w:rPr>
                <w:szCs w:val="22"/>
                <w:lang w:eastAsia="zh-CN"/>
              </w:rPr>
              <w:t>650</w:t>
            </w:r>
          </w:p>
        </w:tc>
        <w:tc>
          <w:tcPr>
            <w:tcW w:w="1653" w:type="dxa"/>
          </w:tcPr>
          <w:p w:rsidR="001575ED" w:rsidRPr="00663610" w:rsidRDefault="00704EF8" w:rsidP="007F7D22">
            <w:pPr>
              <w:tabs>
                <w:tab w:val="clear" w:pos="720"/>
                <w:tab w:val="clear" w:pos="1440"/>
                <w:tab w:val="decimal" w:pos="1332"/>
              </w:tabs>
              <w:jc w:val="both"/>
              <w:rPr>
                <w:szCs w:val="22"/>
                <w:lang w:eastAsia="zh-CN"/>
              </w:rPr>
            </w:pPr>
            <w:r>
              <w:rPr>
                <w:szCs w:val="22"/>
                <w:lang w:eastAsia="zh-CN"/>
              </w:rPr>
              <w:t>31,853</w:t>
            </w:r>
          </w:p>
        </w:tc>
        <w:tc>
          <w:tcPr>
            <w:tcW w:w="1693" w:type="dxa"/>
          </w:tcPr>
          <w:p w:rsidR="001575ED" w:rsidRPr="00663610" w:rsidRDefault="00704EF8" w:rsidP="007F7D22">
            <w:pPr>
              <w:tabs>
                <w:tab w:val="clear" w:pos="720"/>
                <w:tab w:val="clear" w:pos="1440"/>
                <w:tab w:val="decimal" w:pos="1389"/>
              </w:tabs>
              <w:ind w:right="-2"/>
              <w:jc w:val="both"/>
              <w:rPr>
                <w:szCs w:val="22"/>
                <w:lang w:eastAsia="zh-CN"/>
              </w:rPr>
            </w:pPr>
            <w:r>
              <w:rPr>
                <w:szCs w:val="22"/>
                <w:lang w:eastAsia="zh-CN"/>
              </w:rPr>
              <w:t>4,740</w:t>
            </w:r>
          </w:p>
        </w:tc>
        <w:tc>
          <w:tcPr>
            <w:tcW w:w="1334" w:type="dxa"/>
          </w:tcPr>
          <w:p w:rsidR="001575ED" w:rsidRPr="00663610" w:rsidRDefault="00704EF8" w:rsidP="0026443F">
            <w:pPr>
              <w:tabs>
                <w:tab w:val="clear" w:pos="720"/>
                <w:tab w:val="clear" w:pos="1440"/>
                <w:tab w:val="decimal" w:pos="1062"/>
              </w:tabs>
              <w:jc w:val="both"/>
              <w:rPr>
                <w:szCs w:val="22"/>
                <w:lang w:eastAsia="zh-CN"/>
              </w:rPr>
            </w:pPr>
            <w:r>
              <w:rPr>
                <w:szCs w:val="22"/>
                <w:lang w:eastAsia="zh-CN"/>
              </w:rPr>
              <w:t>37,243</w:t>
            </w:r>
          </w:p>
        </w:tc>
      </w:tr>
      <w:tr w:rsidR="001575ED" w:rsidRPr="00663610" w:rsidTr="00006531">
        <w:trPr>
          <w:gridAfter w:val="1"/>
          <w:wAfter w:w="89" w:type="dxa"/>
        </w:trPr>
        <w:tc>
          <w:tcPr>
            <w:tcW w:w="2679" w:type="dxa"/>
            <w:gridSpan w:val="2"/>
          </w:tcPr>
          <w:p w:rsidR="001575ED" w:rsidRPr="00663610" w:rsidRDefault="001575ED" w:rsidP="007D63EE">
            <w:pPr>
              <w:rPr>
                <w:szCs w:val="22"/>
              </w:rPr>
            </w:pPr>
            <w:r w:rsidRPr="00663610">
              <w:rPr>
                <w:szCs w:val="22"/>
              </w:rPr>
              <w:t>Inter-segment sales</w:t>
            </w:r>
          </w:p>
        </w:tc>
        <w:tc>
          <w:tcPr>
            <w:tcW w:w="1371" w:type="dxa"/>
            <w:tcBorders>
              <w:bottom w:val="single" w:sz="4" w:space="0" w:color="auto"/>
            </w:tcBorders>
          </w:tcPr>
          <w:p w:rsidR="001575ED" w:rsidRPr="00663610" w:rsidRDefault="00704EF8" w:rsidP="007F7D22">
            <w:pPr>
              <w:tabs>
                <w:tab w:val="clear" w:pos="720"/>
                <w:tab w:val="clear" w:pos="1440"/>
                <w:tab w:val="decimal" w:pos="1083"/>
              </w:tabs>
              <w:jc w:val="both"/>
              <w:rPr>
                <w:szCs w:val="22"/>
                <w:lang w:eastAsia="zh-CN"/>
              </w:rPr>
            </w:pPr>
            <w:r>
              <w:rPr>
                <w:szCs w:val="22"/>
                <w:lang w:eastAsia="zh-CN"/>
              </w:rPr>
              <w:t>(625)</w:t>
            </w:r>
          </w:p>
        </w:tc>
        <w:tc>
          <w:tcPr>
            <w:tcW w:w="1653" w:type="dxa"/>
            <w:tcBorders>
              <w:bottom w:val="single" w:sz="4" w:space="0" w:color="auto"/>
            </w:tcBorders>
          </w:tcPr>
          <w:p w:rsidR="001575ED" w:rsidRPr="00663610" w:rsidRDefault="00631B07" w:rsidP="007F7D22">
            <w:pPr>
              <w:tabs>
                <w:tab w:val="clear" w:pos="720"/>
                <w:tab w:val="clear" w:pos="1440"/>
                <w:tab w:val="decimal" w:pos="1332"/>
              </w:tabs>
              <w:jc w:val="both"/>
              <w:rPr>
                <w:szCs w:val="22"/>
                <w:lang w:eastAsia="zh-CN"/>
              </w:rPr>
            </w:pPr>
            <w:r w:rsidRPr="00663610">
              <w:rPr>
                <w:rFonts w:hint="eastAsia"/>
                <w:szCs w:val="22"/>
                <w:lang w:eastAsia="zh-CN"/>
              </w:rPr>
              <w:t>(</w:t>
            </w:r>
            <w:r w:rsidR="00704EF8">
              <w:rPr>
                <w:szCs w:val="22"/>
                <w:lang w:eastAsia="zh-CN"/>
              </w:rPr>
              <w:t>2,44</w:t>
            </w:r>
            <w:r w:rsidR="00143960">
              <w:rPr>
                <w:szCs w:val="22"/>
                <w:lang w:eastAsia="zh-CN"/>
              </w:rPr>
              <w:t>6</w:t>
            </w:r>
            <w:r w:rsidRPr="00663610">
              <w:rPr>
                <w:rFonts w:hint="eastAsia"/>
                <w:szCs w:val="22"/>
                <w:lang w:eastAsia="zh-CN"/>
              </w:rPr>
              <w:t>)</w:t>
            </w:r>
          </w:p>
        </w:tc>
        <w:tc>
          <w:tcPr>
            <w:tcW w:w="1693" w:type="dxa"/>
            <w:tcBorders>
              <w:bottom w:val="single" w:sz="4" w:space="0" w:color="auto"/>
            </w:tcBorders>
          </w:tcPr>
          <w:p w:rsidR="001575ED" w:rsidRPr="00663610" w:rsidRDefault="001575ED" w:rsidP="007F7D22">
            <w:pPr>
              <w:tabs>
                <w:tab w:val="clear" w:pos="720"/>
                <w:tab w:val="clear" w:pos="1440"/>
                <w:tab w:val="decimal" w:pos="1389"/>
              </w:tabs>
              <w:ind w:right="-2"/>
              <w:jc w:val="both"/>
              <w:rPr>
                <w:szCs w:val="22"/>
                <w:lang w:eastAsia="zh-CN"/>
              </w:rPr>
            </w:pPr>
            <w:r w:rsidRPr="00663610">
              <w:rPr>
                <w:rFonts w:hint="eastAsia"/>
                <w:szCs w:val="22"/>
                <w:lang w:eastAsia="zh-CN"/>
              </w:rPr>
              <w:t>-</w:t>
            </w:r>
          </w:p>
        </w:tc>
        <w:tc>
          <w:tcPr>
            <w:tcW w:w="1334" w:type="dxa"/>
            <w:tcBorders>
              <w:bottom w:val="single" w:sz="4" w:space="0" w:color="auto"/>
            </w:tcBorders>
          </w:tcPr>
          <w:p w:rsidR="001575ED" w:rsidRPr="00663610" w:rsidRDefault="00631B07" w:rsidP="0026443F">
            <w:pPr>
              <w:tabs>
                <w:tab w:val="clear" w:pos="720"/>
                <w:tab w:val="clear" w:pos="1440"/>
                <w:tab w:val="decimal" w:pos="1062"/>
              </w:tabs>
              <w:jc w:val="both"/>
              <w:rPr>
                <w:szCs w:val="22"/>
                <w:lang w:eastAsia="zh-CN"/>
              </w:rPr>
            </w:pPr>
            <w:r w:rsidRPr="00663610">
              <w:rPr>
                <w:rFonts w:hint="eastAsia"/>
                <w:szCs w:val="22"/>
                <w:lang w:eastAsia="zh-CN"/>
              </w:rPr>
              <w:t>(</w:t>
            </w:r>
            <w:r w:rsidR="00196399">
              <w:rPr>
                <w:szCs w:val="22"/>
                <w:lang w:eastAsia="zh-CN"/>
              </w:rPr>
              <w:t>3,</w:t>
            </w:r>
            <w:r w:rsidR="00143960">
              <w:rPr>
                <w:szCs w:val="22"/>
                <w:lang w:eastAsia="zh-CN"/>
              </w:rPr>
              <w:t>0</w:t>
            </w:r>
            <w:r w:rsidR="00895115">
              <w:rPr>
                <w:rFonts w:hint="eastAsia"/>
                <w:szCs w:val="22"/>
                <w:lang w:eastAsia="zh-CN"/>
              </w:rPr>
              <w:t>7</w:t>
            </w:r>
            <w:r w:rsidR="00143960">
              <w:rPr>
                <w:szCs w:val="22"/>
                <w:lang w:eastAsia="zh-CN"/>
              </w:rPr>
              <w:t>1</w:t>
            </w:r>
            <w:r w:rsidRPr="00663610">
              <w:rPr>
                <w:rFonts w:hint="eastAsia"/>
                <w:szCs w:val="22"/>
                <w:lang w:eastAsia="zh-CN"/>
              </w:rPr>
              <w:t>)</w:t>
            </w:r>
          </w:p>
        </w:tc>
      </w:tr>
      <w:tr w:rsidR="001575ED" w:rsidRPr="00663610" w:rsidTr="00006531">
        <w:trPr>
          <w:gridAfter w:val="1"/>
          <w:wAfter w:w="89" w:type="dxa"/>
        </w:trPr>
        <w:tc>
          <w:tcPr>
            <w:tcW w:w="2679" w:type="dxa"/>
            <w:gridSpan w:val="2"/>
          </w:tcPr>
          <w:p w:rsidR="001575ED" w:rsidRPr="00663610" w:rsidRDefault="001575ED" w:rsidP="007D63EE">
            <w:pPr>
              <w:rPr>
                <w:szCs w:val="22"/>
                <w:lang w:eastAsia="zh-CN"/>
              </w:rPr>
            </w:pPr>
            <w:r w:rsidRPr="00663610">
              <w:rPr>
                <w:szCs w:val="22"/>
              </w:rPr>
              <w:t>Externa</w:t>
            </w:r>
            <w:r w:rsidRPr="00663610">
              <w:rPr>
                <w:rFonts w:hint="eastAsia"/>
                <w:szCs w:val="22"/>
                <w:lang w:eastAsia="zh-CN"/>
              </w:rPr>
              <w:t>l</w:t>
            </w:r>
          </w:p>
        </w:tc>
        <w:tc>
          <w:tcPr>
            <w:tcW w:w="1371" w:type="dxa"/>
            <w:tcBorders>
              <w:top w:val="single" w:sz="4" w:space="0" w:color="auto"/>
            </w:tcBorders>
          </w:tcPr>
          <w:p w:rsidR="001575ED" w:rsidRPr="00663610" w:rsidRDefault="00704EF8" w:rsidP="007F7D22">
            <w:pPr>
              <w:tabs>
                <w:tab w:val="clear" w:pos="720"/>
                <w:tab w:val="clear" w:pos="1440"/>
                <w:tab w:val="decimal" w:pos="1083"/>
              </w:tabs>
              <w:jc w:val="both"/>
              <w:rPr>
                <w:szCs w:val="22"/>
                <w:lang w:eastAsia="zh-CN"/>
              </w:rPr>
            </w:pPr>
            <w:r>
              <w:rPr>
                <w:szCs w:val="22"/>
                <w:lang w:eastAsia="zh-CN"/>
              </w:rPr>
              <w:t>25</w:t>
            </w:r>
          </w:p>
        </w:tc>
        <w:tc>
          <w:tcPr>
            <w:tcW w:w="1653" w:type="dxa"/>
            <w:tcBorders>
              <w:top w:val="single" w:sz="4" w:space="0" w:color="auto"/>
            </w:tcBorders>
          </w:tcPr>
          <w:p w:rsidR="001575ED" w:rsidRPr="00663610" w:rsidRDefault="00196399" w:rsidP="007F7D22">
            <w:pPr>
              <w:tabs>
                <w:tab w:val="clear" w:pos="720"/>
                <w:tab w:val="clear" w:pos="1440"/>
                <w:tab w:val="decimal" w:pos="1332"/>
              </w:tabs>
              <w:jc w:val="both"/>
              <w:rPr>
                <w:szCs w:val="22"/>
                <w:lang w:eastAsia="zh-CN"/>
              </w:rPr>
            </w:pPr>
            <w:r>
              <w:rPr>
                <w:szCs w:val="22"/>
                <w:lang w:eastAsia="zh-CN"/>
              </w:rPr>
              <w:t>2</w:t>
            </w:r>
            <w:r w:rsidR="00704EF8">
              <w:rPr>
                <w:szCs w:val="22"/>
                <w:lang w:eastAsia="zh-CN"/>
              </w:rPr>
              <w:t>9</w:t>
            </w:r>
            <w:r>
              <w:rPr>
                <w:szCs w:val="22"/>
                <w:lang w:eastAsia="zh-CN"/>
              </w:rPr>
              <w:t>,</w:t>
            </w:r>
            <w:r w:rsidR="00704EF8">
              <w:rPr>
                <w:szCs w:val="22"/>
                <w:lang w:eastAsia="zh-CN"/>
              </w:rPr>
              <w:t>40</w:t>
            </w:r>
            <w:r w:rsidR="00143960">
              <w:rPr>
                <w:szCs w:val="22"/>
                <w:lang w:eastAsia="zh-CN"/>
              </w:rPr>
              <w:t>7</w:t>
            </w:r>
          </w:p>
        </w:tc>
        <w:tc>
          <w:tcPr>
            <w:tcW w:w="1693" w:type="dxa"/>
            <w:tcBorders>
              <w:top w:val="single" w:sz="4" w:space="0" w:color="auto"/>
            </w:tcBorders>
          </w:tcPr>
          <w:p w:rsidR="001575ED" w:rsidRPr="00663610" w:rsidRDefault="00704EF8" w:rsidP="007F7D22">
            <w:pPr>
              <w:tabs>
                <w:tab w:val="clear" w:pos="720"/>
                <w:tab w:val="clear" w:pos="1440"/>
                <w:tab w:val="decimal" w:pos="1389"/>
              </w:tabs>
              <w:ind w:right="-2"/>
              <w:jc w:val="both"/>
              <w:rPr>
                <w:szCs w:val="22"/>
                <w:lang w:eastAsia="zh-CN"/>
              </w:rPr>
            </w:pPr>
            <w:r>
              <w:rPr>
                <w:szCs w:val="22"/>
                <w:lang w:eastAsia="zh-CN"/>
              </w:rPr>
              <w:t>4,740</w:t>
            </w:r>
          </w:p>
        </w:tc>
        <w:tc>
          <w:tcPr>
            <w:tcW w:w="1334" w:type="dxa"/>
            <w:tcBorders>
              <w:top w:val="single" w:sz="4" w:space="0" w:color="auto"/>
            </w:tcBorders>
          </w:tcPr>
          <w:p w:rsidR="001575ED" w:rsidRPr="00663610" w:rsidRDefault="00143960" w:rsidP="0026443F">
            <w:pPr>
              <w:tabs>
                <w:tab w:val="clear" w:pos="720"/>
                <w:tab w:val="clear" w:pos="1440"/>
                <w:tab w:val="decimal" w:pos="1062"/>
              </w:tabs>
              <w:jc w:val="both"/>
              <w:rPr>
                <w:szCs w:val="22"/>
                <w:lang w:eastAsia="zh-CN"/>
              </w:rPr>
            </w:pPr>
            <w:r>
              <w:rPr>
                <w:szCs w:val="22"/>
                <w:lang w:eastAsia="zh-CN"/>
              </w:rPr>
              <w:t>34,172</w:t>
            </w:r>
          </w:p>
        </w:tc>
      </w:tr>
      <w:tr w:rsidR="001575ED" w:rsidRPr="00663610" w:rsidTr="00006531">
        <w:trPr>
          <w:gridAfter w:val="1"/>
          <w:wAfter w:w="89" w:type="dxa"/>
        </w:trPr>
        <w:tc>
          <w:tcPr>
            <w:tcW w:w="2679" w:type="dxa"/>
            <w:gridSpan w:val="2"/>
          </w:tcPr>
          <w:p w:rsidR="001575ED" w:rsidRPr="00663610" w:rsidRDefault="001575ED" w:rsidP="007D63EE">
            <w:pPr>
              <w:jc w:val="both"/>
              <w:rPr>
                <w:b/>
                <w:szCs w:val="22"/>
              </w:rPr>
            </w:pPr>
          </w:p>
        </w:tc>
        <w:tc>
          <w:tcPr>
            <w:tcW w:w="1371" w:type="dxa"/>
            <w:tcBorders>
              <w:top w:val="double" w:sz="4" w:space="0" w:color="auto"/>
            </w:tcBorders>
          </w:tcPr>
          <w:p w:rsidR="001575ED" w:rsidRPr="00663610" w:rsidRDefault="001575ED" w:rsidP="007F7D22">
            <w:pPr>
              <w:tabs>
                <w:tab w:val="decimal" w:pos="1083"/>
              </w:tabs>
              <w:jc w:val="both"/>
              <w:rPr>
                <w:szCs w:val="22"/>
              </w:rPr>
            </w:pPr>
          </w:p>
        </w:tc>
        <w:tc>
          <w:tcPr>
            <w:tcW w:w="1653" w:type="dxa"/>
            <w:tcBorders>
              <w:top w:val="double" w:sz="4" w:space="0" w:color="auto"/>
            </w:tcBorders>
          </w:tcPr>
          <w:p w:rsidR="001575ED" w:rsidRPr="00663610" w:rsidRDefault="001575ED" w:rsidP="007F7D22">
            <w:pPr>
              <w:tabs>
                <w:tab w:val="clear" w:pos="1440"/>
                <w:tab w:val="decimal" w:pos="1332"/>
              </w:tabs>
              <w:jc w:val="both"/>
              <w:rPr>
                <w:szCs w:val="22"/>
              </w:rPr>
            </w:pPr>
          </w:p>
        </w:tc>
        <w:tc>
          <w:tcPr>
            <w:tcW w:w="1693" w:type="dxa"/>
            <w:tcBorders>
              <w:top w:val="double" w:sz="4" w:space="0" w:color="auto"/>
            </w:tcBorders>
          </w:tcPr>
          <w:p w:rsidR="001575ED" w:rsidRPr="00663610" w:rsidRDefault="001575ED" w:rsidP="007F7D22">
            <w:pPr>
              <w:tabs>
                <w:tab w:val="clear" w:pos="720"/>
                <w:tab w:val="clear" w:pos="1440"/>
                <w:tab w:val="decimal" w:pos="1389"/>
              </w:tabs>
              <w:ind w:right="-2"/>
              <w:jc w:val="both"/>
              <w:rPr>
                <w:szCs w:val="22"/>
              </w:rPr>
            </w:pPr>
          </w:p>
        </w:tc>
        <w:tc>
          <w:tcPr>
            <w:tcW w:w="1334" w:type="dxa"/>
            <w:tcBorders>
              <w:top w:val="double" w:sz="4" w:space="0" w:color="auto"/>
            </w:tcBorders>
          </w:tcPr>
          <w:p w:rsidR="001575ED" w:rsidRPr="00663610" w:rsidRDefault="001575ED" w:rsidP="0026443F">
            <w:pPr>
              <w:tabs>
                <w:tab w:val="clear" w:pos="720"/>
                <w:tab w:val="clear" w:pos="1440"/>
                <w:tab w:val="decimal" w:pos="1062"/>
              </w:tabs>
              <w:jc w:val="both"/>
              <w:rPr>
                <w:szCs w:val="22"/>
              </w:rPr>
            </w:pPr>
          </w:p>
        </w:tc>
      </w:tr>
      <w:tr w:rsidR="001575ED" w:rsidRPr="00663610" w:rsidTr="00006531">
        <w:trPr>
          <w:gridAfter w:val="1"/>
          <w:wAfter w:w="89" w:type="dxa"/>
        </w:trPr>
        <w:tc>
          <w:tcPr>
            <w:tcW w:w="2679" w:type="dxa"/>
            <w:gridSpan w:val="2"/>
          </w:tcPr>
          <w:p w:rsidR="001575ED" w:rsidRPr="00663610" w:rsidRDefault="001575ED" w:rsidP="007D63EE">
            <w:pPr>
              <w:jc w:val="both"/>
              <w:rPr>
                <w:b/>
                <w:szCs w:val="22"/>
              </w:rPr>
            </w:pPr>
            <w:r w:rsidRPr="00663610">
              <w:rPr>
                <w:b/>
                <w:szCs w:val="22"/>
              </w:rPr>
              <w:t>RESULT</w:t>
            </w:r>
          </w:p>
        </w:tc>
        <w:tc>
          <w:tcPr>
            <w:tcW w:w="1371" w:type="dxa"/>
          </w:tcPr>
          <w:p w:rsidR="001575ED" w:rsidRPr="00663610" w:rsidRDefault="001575ED" w:rsidP="007F7D22">
            <w:pPr>
              <w:tabs>
                <w:tab w:val="decimal" w:pos="1083"/>
              </w:tabs>
              <w:jc w:val="both"/>
              <w:rPr>
                <w:szCs w:val="22"/>
              </w:rPr>
            </w:pPr>
          </w:p>
        </w:tc>
        <w:tc>
          <w:tcPr>
            <w:tcW w:w="1653" w:type="dxa"/>
          </w:tcPr>
          <w:p w:rsidR="001575ED" w:rsidRPr="00663610" w:rsidRDefault="001575ED" w:rsidP="007F7D22">
            <w:pPr>
              <w:tabs>
                <w:tab w:val="clear" w:pos="1440"/>
                <w:tab w:val="decimal" w:pos="1332"/>
              </w:tabs>
              <w:jc w:val="both"/>
              <w:rPr>
                <w:szCs w:val="22"/>
              </w:rPr>
            </w:pPr>
          </w:p>
        </w:tc>
        <w:tc>
          <w:tcPr>
            <w:tcW w:w="1693" w:type="dxa"/>
          </w:tcPr>
          <w:p w:rsidR="001575ED" w:rsidRPr="00663610" w:rsidRDefault="001575ED" w:rsidP="007F7D22">
            <w:pPr>
              <w:tabs>
                <w:tab w:val="clear" w:pos="720"/>
                <w:tab w:val="clear" w:pos="1440"/>
                <w:tab w:val="decimal" w:pos="1389"/>
              </w:tabs>
              <w:ind w:right="-2"/>
              <w:jc w:val="both"/>
              <w:rPr>
                <w:szCs w:val="22"/>
              </w:rPr>
            </w:pPr>
          </w:p>
        </w:tc>
        <w:tc>
          <w:tcPr>
            <w:tcW w:w="1334" w:type="dxa"/>
          </w:tcPr>
          <w:p w:rsidR="001575ED" w:rsidRPr="00663610" w:rsidRDefault="001575ED" w:rsidP="0026443F">
            <w:pPr>
              <w:tabs>
                <w:tab w:val="clear" w:pos="720"/>
                <w:tab w:val="clear" w:pos="1440"/>
                <w:tab w:val="decimal" w:pos="1062"/>
              </w:tabs>
              <w:jc w:val="both"/>
              <w:rPr>
                <w:szCs w:val="22"/>
              </w:rPr>
            </w:pPr>
          </w:p>
        </w:tc>
      </w:tr>
      <w:tr w:rsidR="001575ED" w:rsidRPr="00663610" w:rsidTr="00006531">
        <w:trPr>
          <w:gridAfter w:val="1"/>
          <w:wAfter w:w="89" w:type="dxa"/>
        </w:trPr>
        <w:tc>
          <w:tcPr>
            <w:tcW w:w="2679" w:type="dxa"/>
            <w:gridSpan w:val="2"/>
          </w:tcPr>
          <w:p w:rsidR="001575ED" w:rsidRPr="00663610" w:rsidRDefault="001575ED" w:rsidP="007D63EE">
            <w:pPr>
              <w:jc w:val="both"/>
              <w:rPr>
                <w:szCs w:val="22"/>
              </w:rPr>
            </w:pPr>
            <w:r w:rsidRPr="00663610">
              <w:rPr>
                <w:szCs w:val="22"/>
              </w:rPr>
              <w:t>Segment result</w:t>
            </w:r>
          </w:p>
        </w:tc>
        <w:tc>
          <w:tcPr>
            <w:tcW w:w="1371" w:type="dxa"/>
          </w:tcPr>
          <w:p w:rsidR="001575ED" w:rsidRPr="00663610" w:rsidRDefault="001575ED" w:rsidP="007F7D22">
            <w:pPr>
              <w:tabs>
                <w:tab w:val="clear" w:pos="720"/>
                <w:tab w:val="clear" w:pos="1440"/>
                <w:tab w:val="decimal" w:pos="1083"/>
              </w:tabs>
              <w:jc w:val="both"/>
              <w:rPr>
                <w:szCs w:val="22"/>
                <w:lang w:eastAsia="zh-CN"/>
              </w:rPr>
            </w:pPr>
            <w:r w:rsidRPr="00663610">
              <w:rPr>
                <w:rFonts w:hint="eastAsia"/>
                <w:szCs w:val="22"/>
                <w:lang w:eastAsia="zh-CN"/>
              </w:rPr>
              <w:t>(</w:t>
            </w:r>
            <w:r w:rsidR="00387958">
              <w:rPr>
                <w:szCs w:val="22"/>
                <w:lang w:eastAsia="zh-CN"/>
              </w:rPr>
              <w:t>297</w:t>
            </w:r>
            <w:r w:rsidRPr="00663610">
              <w:rPr>
                <w:rFonts w:hint="eastAsia"/>
                <w:szCs w:val="22"/>
                <w:lang w:eastAsia="zh-CN"/>
              </w:rPr>
              <w:t>)</w:t>
            </w:r>
          </w:p>
        </w:tc>
        <w:tc>
          <w:tcPr>
            <w:tcW w:w="1653" w:type="dxa"/>
          </w:tcPr>
          <w:p w:rsidR="001575ED" w:rsidRPr="00663610" w:rsidRDefault="00387958" w:rsidP="007F7D22">
            <w:pPr>
              <w:tabs>
                <w:tab w:val="clear" w:pos="720"/>
                <w:tab w:val="clear" w:pos="1440"/>
                <w:tab w:val="decimal" w:pos="1332"/>
              </w:tabs>
              <w:jc w:val="both"/>
              <w:rPr>
                <w:szCs w:val="22"/>
                <w:lang w:eastAsia="zh-CN"/>
              </w:rPr>
            </w:pPr>
            <w:r>
              <w:rPr>
                <w:szCs w:val="22"/>
                <w:lang w:eastAsia="zh-CN"/>
              </w:rPr>
              <w:t>3,394</w:t>
            </w:r>
          </w:p>
        </w:tc>
        <w:tc>
          <w:tcPr>
            <w:tcW w:w="1693" w:type="dxa"/>
          </w:tcPr>
          <w:p w:rsidR="001575ED" w:rsidRPr="00663610" w:rsidRDefault="00387958" w:rsidP="007F7D22">
            <w:pPr>
              <w:tabs>
                <w:tab w:val="clear" w:pos="720"/>
                <w:tab w:val="clear" w:pos="1440"/>
                <w:tab w:val="decimal" w:pos="1389"/>
              </w:tabs>
              <w:ind w:right="-2"/>
              <w:jc w:val="both"/>
              <w:rPr>
                <w:szCs w:val="22"/>
                <w:lang w:eastAsia="zh-CN"/>
              </w:rPr>
            </w:pPr>
            <w:r>
              <w:rPr>
                <w:szCs w:val="22"/>
                <w:lang w:eastAsia="zh-CN"/>
              </w:rPr>
              <w:t>351</w:t>
            </w:r>
          </w:p>
        </w:tc>
        <w:tc>
          <w:tcPr>
            <w:tcW w:w="1334" w:type="dxa"/>
          </w:tcPr>
          <w:p w:rsidR="001575ED" w:rsidRPr="00663610" w:rsidRDefault="00387958" w:rsidP="0026443F">
            <w:pPr>
              <w:tabs>
                <w:tab w:val="clear" w:pos="720"/>
                <w:tab w:val="clear" w:pos="1440"/>
                <w:tab w:val="decimal" w:pos="1062"/>
              </w:tabs>
              <w:jc w:val="both"/>
              <w:rPr>
                <w:szCs w:val="22"/>
                <w:lang w:eastAsia="zh-CN"/>
              </w:rPr>
            </w:pPr>
            <w:r>
              <w:rPr>
                <w:szCs w:val="22"/>
                <w:lang w:eastAsia="zh-CN"/>
              </w:rPr>
              <w:t>3,448</w:t>
            </w:r>
          </w:p>
        </w:tc>
      </w:tr>
      <w:tr w:rsidR="001575ED" w:rsidRPr="00663610" w:rsidTr="00006531">
        <w:trPr>
          <w:gridAfter w:val="1"/>
          <w:wAfter w:w="89" w:type="dxa"/>
        </w:trPr>
        <w:tc>
          <w:tcPr>
            <w:tcW w:w="2679" w:type="dxa"/>
            <w:gridSpan w:val="2"/>
          </w:tcPr>
          <w:p w:rsidR="001575ED" w:rsidRPr="00663610" w:rsidRDefault="001575ED" w:rsidP="007D63EE">
            <w:pPr>
              <w:jc w:val="both"/>
              <w:rPr>
                <w:szCs w:val="22"/>
              </w:rPr>
            </w:pPr>
            <w:r w:rsidRPr="00663610">
              <w:rPr>
                <w:szCs w:val="22"/>
              </w:rPr>
              <w:t xml:space="preserve">Finance costs </w:t>
            </w:r>
          </w:p>
        </w:tc>
        <w:tc>
          <w:tcPr>
            <w:tcW w:w="1371" w:type="dxa"/>
          </w:tcPr>
          <w:p w:rsidR="001575ED" w:rsidRPr="00663610" w:rsidRDefault="001575ED" w:rsidP="007F7D22">
            <w:pPr>
              <w:tabs>
                <w:tab w:val="clear" w:pos="720"/>
                <w:tab w:val="clear" w:pos="1440"/>
                <w:tab w:val="decimal" w:pos="1083"/>
              </w:tabs>
              <w:jc w:val="both"/>
              <w:rPr>
                <w:szCs w:val="22"/>
                <w:lang w:eastAsia="zh-CN"/>
              </w:rPr>
            </w:pPr>
            <w:r w:rsidRPr="00663610">
              <w:rPr>
                <w:rFonts w:hint="eastAsia"/>
                <w:szCs w:val="22"/>
                <w:lang w:eastAsia="zh-CN"/>
              </w:rPr>
              <w:t>-</w:t>
            </w:r>
          </w:p>
        </w:tc>
        <w:tc>
          <w:tcPr>
            <w:tcW w:w="1653" w:type="dxa"/>
          </w:tcPr>
          <w:p w:rsidR="001575ED" w:rsidRPr="00663610" w:rsidRDefault="008057E9" w:rsidP="007F7D22">
            <w:pPr>
              <w:tabs>
                <w:tab w:val="clear" w:pos="720"/>
                <w:tab w:val="clear" w:pos="1440"/>
                <w:tab w:val="decimal" w:pos="1332"/>
              </w:tabs>
              <w:jc w:val="both"/>
              <w:rPr>
                <w:szCs w:val="22"/>
                <w:lang w:eastAsia="zh-CN"/>
              </w:rPr>
            </w:pPr>
            <w:r>
              <w:rPr>
                <w:szCs w:val="22"/>
                <w:lang w:eastAsia="zh-CN"/>
              </w:rPr>
              <w:t>(</w:t>
            </w:r>
            <w:r w:rsidR="00387958">
              <w:rPr>
                <w:szCs w:val="22"/>
                <w:lang w:eastAsia="zh-CN"/>
              </w:rPr>
              <w:t>30</w:t>
            </w:r>
            <w:r>
              <w:rPr>
                <w:szCs w:val="22"/>
                <w:lang w:eastAsia="zh-CN"/>
              </w:rPr>
              <w:t>)</w:t>
            </w:r>
          </w:p>
        </w:tc>
        <w:tc>
          <w:tcPr>
            <w:tcW w:w="1693" w:type="dxa"/>
          </w:tcPr>
          <w:p w:rsidR="001575ED" w:rsidRPr="00663610" w:rsidRDefault="00A413EC" w:rsidP="007F7D22">
            <w:pPr>
              <w:tabs>
                <w:tab w:val="clear" w:pos="720"/>
                <w:tab w:val="clear" w:pos="1440"/>
                <w:tab w:val="decimal" w:pos="1389"/>
              </w:tabs>
              <w:ind w:right="-2"/>
              <w:jc w:val="both"/>
              <w:rPr>
                <w:szCs w:val="22"/>
                <w:lang w:eastAsia="zh-CN"/>
              </w:rPr>
            </w:pPr>
            <w:r w:rsidRPr="00663610">
              <w:rPr>
                <w:rFonts w:hint="eastAsia"/>
                <w:szCs w:val="22"/>
                <w:lang w:eastAsia="zh-CN"/>
              </w:rPr>
              <w:t>(</w:t>
            </w:r>
            <w:r w:rsidR="00387958">
              <w:rPr>
                <w:szCs w:val="22"/>
                <w:lang w:eastAsia="zh-CN"/>
              </w:rPr>
              <w:t>7</w:t>
            </w:r>
            <w:r w:rsidR="001575ED" w:rsidRPr="00663610">
              <w:rPr>
                <w:rFonts w:hint="eastAsia"/>
                <w:szCs w:val="22"/>
                <w:lang w:eastAsia="zh-CN"/>
              </w:rPr>
              <w:t>)</w:t>
            </w:r>
          </w:p>
        </w:tc>
        <w:tc>
          <w:tcPr>
            <w:tcW w:w="1334" w:type="dxa"/>
            <w:shd w:val="clear" w:color="auto" w:fill="auto"/>
          </w:tcPr>
          <w:p w:rsidR="001575ED" w:rsidRPr="00663610" w:rsidRDefault="001575ED" w:rsidP="007F7D22">
            <w:pPr>
              <w:tabs>
                <w:tab w:val="clear" w:pos="720"/>
                <w:tab w:val="clear" w:pos="1440"/>
                <w:tab w:val="decimal" w:pos="1062"/>
              </w:tabs>
              <w:jc w:val="both"/>
              <w:rPr>
                <w:szCs w:val="22"/>
                <w:lang w:eastAsia="zh-CN"/>
              </w:rPr>
            </w:pPr>
            <w:r w:rsidRPr="00663610">
              <w:rPr>
                <w:rFonts w:hint="eastAsia"/>
                <w:szCs w:val="22"/>
                <w:lang w:eastAsia="zh-CN"/>
              </w:rPr>
              <w:t>(</w:t>
            </w:r>
            <w:r w:rsidR="00387958">
              <w:rPr>
                <w:szCs w:val="22"/>
                <w:lang w:eastAsia="zh-CN"/>
              </w:rPr>
              <w:t>37</w:t>
            </w:r>
            <w:r w:rsidRPr="00663610">
              <w:rPr>
                <w:rFonts w:hint="eastAsia"/>
                <w:szCs w:val="22"/>
                <w:lang w:eastAsia="zh-CN"/>
              </w:rPr>
              <w:t>)</w:t>
            </w:r>
          </w:p>
        </w:tc>
      </w:tr>
      <w:tr w:rsidR="001575ED" w:rsidRPr="00663610" w:rsidTr="00006531">
        <w:trPr>
          <w:gridAfter w:val="1"/>
          <w:wAfter w:w="89" w:type="dxa"/>
        </w:trPr>
        <w:tc>
          <w:tcPr>
            <w:tcW w:w="2679" w:type="dxa"/>
            <w:gridSpan w:val="2"/>
          </w:tcPr>
          <w:p w:rsidR="001575ED" w:rsidRPr="00663610" w:rsidRDefault="001575ED" w:rsidP="007D63EE">
            <w:pPr>
              <w:jc w:val="both"/>
              <w:rPr>
                <w:szCs w:val="22"/>
                <w:lang w:eastAsia="zh-CN"/>
              </w:rPr>
            </w:pPr>
            <w:r w:rsidRPr="00663610">
              <w:rPr>
                <w:rFonts w:hint="eastAsia"/>
                <w:szCs w:val="22"/>
                <w:lang w:eastAsia="zh-CN"/>
              </w:rPr>
              <w:t>Share of profit in a jointly controlled entity</w:t>
            </w:r>
          </w:p>
        </w:tc>
        <w:tc>
          <w:tcPr>
            <w:tcW w:w="1371" w:type="dxa"/>
          </w:tcPr>
          <w:p w:rsidR="001575ED" w:rsidRPr="00663610" w:rsidRDefault="001575ED" w:rsidP="007F7D22">
            <w:pPr>
              <w:tabs>
                <w:tab w:val="decimal" w:pos="1083"/>
              </w:tabs>
              <w:jc w:val="both"/>
              <w:rPr>
                <w:szCs w:val="22"/>
                <w:lang w:eastAsia="zh-CN"/>
              </w:rPr>
            </w:pPr>
          </w:p>
          <w:p w:rsidR="001575ED" w:rsidRPr="00663610" w:rsidRDefault="00A35A82" w:rsidP="007F7D22">
            <w:pPr>
              <w:tabs>
                <w:tab w:val="clear" w:pos="720"/>
                <w:tab w:val="clear" w:pos="1440"/>
                <w:tab w:val="decimal" w:pos="1083"/>
              </w:tabs>
              <w:jc w:val="both"/>
              <w:rPr>
                <w:szCs w:val="22"/>
                <w:lang w:eastAsia="zh-CN"/>
              </w:rPr>
            </w:pPr>
            <w:r>
              <w:rPr>
                <w:szCs w:val="22"/>
                <w:lang w:eastAsia="zh-CN"/>
              </w:rPr>
              <w:t>10</w:t>
            </w:r>
            <w:r w:rsidR="00752F0D">
              <w:rPr>
                <w:rFonts w:hint="eastAsia"/>
                <w:szCs w:val="22"/>
                <w:lang w:eastAsia="zh-CN"/>
              </w:rPr>
              <w:t>7</w:t>
            </w:r>
          </w:p>
        </w:tc>
        <w:tc>
          <w:tcPr>
            <w:tcW w:w="1653" w:type="dxa"/>
          </w:tcPr>
          <w:p w:rsidR="001575ED" w:rsidRPr="00663610" w:rsidRDefault="001575ED" w:rsidP="007F7D22">
            <w:pPr>
              <w:tabs>
                <w:tab w:val="clear" w:pos="720"/>
                <w:tab w:val="clear" w:pos="1440"/>
                <w:tab w:val="left" w:pos="792"/>
                <w:tab w:val="decimal" w:pos="1332"/>
              </w:tabs>
              <w:jc w:val="both"/>
              <w:rPr>
                <w:szCs w:val="22"/>
                <w:lang w:eastAsia="zh-CN"/>
              </w:rPr>
            </w:pPr>
          </w:p>
          <w:p w:rsidR="001575ED" w:rsidRPr="00663610" w:rsidRDefault="001575ED" w:rsidP="007F7D22">
            <w:pPr>
              <w:tabs>
                <w:tab w:val="clear" w:pos="720"/>
                <w:tab w:val="clear" w:pos="1440"/>
                <w:tab w:val="decimal" w:pos="1332"/>
              </w:tabs>
              <w:jc w:val="both"/>
              <w:rPr>
                <w:szCs w:val="22"/>
                <w:lang w:eastAsia="zh-CN"/>
              </w:rPr>
            </w:pPr>
            <w:r w:rsidRPr="00663610">
              <w:rPr>
                <w:rFonts w:hint="eastAsia"/>
                <w:szCs w:val="22"/>
                <w:lang w:eastAsia="zh-CN"/>
              </w:rPr>
              <w:t>-</w:t>
            </w:r>
          </w:p>
        </w:tc>
        <w:tc>
          <w:tcPr>
            <w:tcW w:w="1693" w:type="dxa"/>
          </w:tcPr>
          <w:p w:rsidR="001575ED" w:rsidRPr="00663610" w:rsidRDefault="001575ED" w:rsidP="007F7D22">
            <w:pPr>
              <w:tabs>
                <w:tab w:val="decimal" w:pos="1389"/>
              </w:tabs>
              <w:ind w:right="-2"/>
              <w:jc w:val="both"/>
              <w:rPr>
                <w:szCs w:val="22"/>
                <w:lang w:eastAsia="zh-CN"/>
              </w:rPr>
            </w:pPr>
          </w:p>
          <w:p w:rsidR="001575ED" w:rsidRPr="00663610" w:rsidRDefault="001575ED" w:rsidP="007F7D22">
            <w:pPr>
              <w:tabs>
                <w:tab w:val="clear" w:pos="720"/>
                <w:tab w:val="clear" w:pos="1440"/>
                <w:tab w:val="decimal" w:pos="1389"/>
              </w:tabs>
              <w:ind w:right="-2"/>
              <w:jc w:val="both"/>
              <w:rPr>
                <w:szCs w:val="22"/>
                <w:lang w:eastAsia="zh-CN"/>
              </w:rPr>
            </w:pPr>
            <w:r w:rsidRPr="00663610">
              <w:rPr>
                <w:rFonts w:hint="eastAsia"/>
                <w:szCs w:val="22"/>
                <w:lang w:eastAsia="zh-CN"/>
              </w:rPr>
              <w:t>-</w:t>
            </w:r>
          </w:p>
        </w:tc>
        <w:tc>
          <w:tcPr>
            <w:tcW w:w="1334" w:type="dxa"/>
            <w:shd w:val="clear" w:color="auto" w:fill="auto"/>
          </w:tcPr>
          <w:p w:rsidR="001575ED" w:rsidRDefault="001575ED" w:rsidP="007F7D22">
            <w:pPr>
              <w:tabs>
                <w:tab w:val="decimal" w:pos="1062"/>
              </w:tabs>
              <w:jc w:val="both"/>
              <w:rPr>
                <w:szCs w:val="22"/>
                <w:lang w:eastAsia="zh-CN"/>
              </w:rPr>
            </w:pPr>
          </w:p>
          <w:p w:rsidR="008057E9" w:rsidRPr="00663610" w:rsidRDefault="00387958" w:rsidP="007F7D22">
            <w:pPr>
              <w:tabs>
                <w:tab w:val="clear" w:pos="720"/>
                <w:tab w:val="clear" w:pos="1440"/>
                <w:tab w:val="decimal" w:pos="1062"/>
              </w:tabs>
              <w:jc w:val="both"/>
              <w:rPr>
                <w:szCs w:val="22"/>
                <w:lang w:eastAsia="zh-CN"/>
              </w:rPr>
            </w:pPr>
            <w:r>
              <w:rPr>
                <w:szCs w:val="22"/>
                <w:lang w:eastAsia="zh-CN"/>
              </w:rPr>
              <w:t>10</w:t>
            </w:r>
            <w:r w:rsidR="00752F0D">
              <w:rPr>
                <w:rFonts w:hint="eastAsia"/>
                <w:szCs w:val="22"/>
                <w:lang w:eastAsia="zh-CN"/>
              </w:rPr>
              <w:t>7</w:t>
            </w:r>
          </w:p>
        </w:tc>
      </w:tr>
      <w:tr w:rsidR="001575ED" w:rsidRPr="00663610" w:rsidTr="00006531">
        <w:trPr>
          <w:gridAfter w:val="1"/>
          <w:wAfter w:w="89" w:type="dxa"/>
        </w:trPr>
        <w:tc>
          <w:tcPr>
            <w:tcW w:w="2679" w:type="dxa"/>
            <w:gridSpan w:val="2"/>
          </w:tcPr>
          <w:p w:rsidR="001575ED" w:rsidRPr="00663610" w:rsidRDefault="001575ED" w:rsidP="007D63EE">
            <w:pPr>
              <w:jc w:val="both"/>
              <w:rPr>
                <w:szCs w:val="22"/>
              </w:rPr>
            </w:pPr>
            <w:r w:rsidRPr="00663610">
              <w:rPr>
                <w:szCs w:val="22"/>
              </w:rPr>
              <w:t xml:space="preserve">(Loss)/Profit before tax </w:t>
            </w:r>
          </w:p>
        </w:tc>
        <w:tc>
          <w:tcPr>
            <w:tcW w:w="1371" w:type="dxa"/>
            <w:tcBorders>
              <w:top w:val="single" w:sz="4" w:space="0" w:color="auto"/>
            </w:tcBorders>
          </w:tcPr>
          <w:p w:rsidR="001575ED" w:rsidRPr="00663610" w:rsidRDefault="001575ED" w:rsidP="007F7D22">
            <w:pPr>
              <w:tabs>
                <w:tab w:val="clear" w:pos="720"/>
                <w:tab w:val="clear" w:pos="1440"/>
                <w:tab w:val="decimal" w:pos="1083"/>
              </w:tabs>
              <w:jc w:val="both"/>
              <w:rPr>
                <w:szCs w:val="22"/>
                <w:lang w:eastAsia="zh-CN"/>
              </w:rPr>
            </w:pPr>
            <w:r w:rsidRPr="00663610">
              <w:rPr>
                <w:rFonts w:hint="eastAsia"/>
                <w:szCs w:val="22"/>
                <w:lang w:eastAsia="zh-CN"/>
              </w:rPr>
              <w:t>(</w:t>
            </w:r>
            <w:r w:rsidR="00AB28EA">
              <w:rPr>
                <w:szCs w:val="22"/>
                <w:lang w:eastAsia="zh-CN"/>
              </w:rPr>
              <w:t>19</w:t>
            </w:r>
            <w:r w:rsidR="00752F0D">
              <w:rPr>
                <w:rFonts w:hint="eastAsia"/>
                <w:szCs w:val="22"/>
                <w:lang w:eastAsia="zh-CN"/>
              </w:rPr>
              <w:t>0</w:t>
            </w:r>
            <w:r w:rsidRPr="00663610">
              <w:rPr>
                <w:rFonts w:hint="eastAsia"/>
                <w:szCs w:val="22"/>
                <w:lang w:eastAsia="zh-CN"/>
              </w:rPr>
              <w:t>)</w:t>
            </w:r>
          </w:p>
        </w:tc>
        <w:tc>
          <w:tcPr>
            <w:tcW w:w="1653" w:type="dxa"/>
            <w:tcBorders>
              <w:top w:val="single" w:sz="4" w:space="0" w:color="auto"/>
            </w:tcBorders>
          </w:tcPr>
          <w:p w:rsidR="001575ED" w:rsidRPr="00663610" w:rsidRDefault="00AB28EA" w:rsidP="007F7D22">
            <w:pPr>
              <w:tabs>
                <w:tab w:val="clear" w:pos="720"/>
                <w:tab w:val="clear" w:pos="1440"/>
                <w:tab w:val="decimal" w:pos="1332"/>
              </w:tabs>
              <w:jc w:val="both"/>
              <w:rPr>
                <w:szCs w:val="22"/>
                <w:lang w:eastAsia="zh-CN"/>
              </w:rPr>
            </w:pPr>
            <w:r>
              <w:rPr>
                <w:szCs w:val="22"/>
                <w:lang w:eastAsia="zh-CN"/>
              </w:rPr>
              <w:t>3,364</w:t>
            </w:r>
          </w:p>
        </w:tc>
        <w:tc>
          <w:tcPr>
            <w:tcW w:w="1693" w:type="dxa"/>
            <w:tcBorders>
              <w:top w:val="single" w:sz="4" w:space="0" w:color="auto"/>
            </w:tcBorders>
          </w:tcPr>
          <w:p w:rsidR="001575ED" w:rsidRPr="00663610" w:rsidRDefault="00AB28EA" w:rsidP="007F7D22">
            <w:pPr>
              <w:tabs>
                <w:tab w:val="clear" w:pos="720"/>
                <w:tab w:val="clear" w:pos="1440"/>
                <w:tab w:val="decimal" w:pos="1389"/>
              </w:tabs>
              <w:ind w:right="-2"/>
              <w:jc w:val="both"/>
              <w:rPr>
                <w:szCs w:val="22"/>
                <w:lang w:eastAsia="zh-CN"/>
              </w:rPr>
            </w:pPr>
            <w:r>
              <w:rPr>
                <w:szCs w:val="22"/>
                <w:lang w:eastAsia="zh-CN"/>
              </w:rPr>
              <w:t>344</w:t>
            </w:r>
          </w:p>
        </w:tc>
        <w:tc>
          <w:tcPr>
            <w:tcW w:w="1334" w:type="dxa"/>
            <w:tcBorders>
              <w:top w:val="single" w:sz="4" w:space="0" w:color="auto"/>
            </w:tcBorders>
            <w:shd w:val="clear" w:color="auto" w:fill="auto"/>
          </w:tcPr>
          <w:p w:rsidR="001575ED" w:rsidRPr="00663610" w:rsidRDefault="00AB28EA" w:rsidP="0026443F">
            <w:pPr>
              <w:tabs>
                <w:tab w:val="clear" w:pos="720"/>
                <w:tab w:val="clear" w:pos="1440"/>
                <w:tab w:val="decimal" w:pos="1062"/>
              </w:tabs>
              <w:jc w:val="both"/>
              <w:rPr>
                <w:szCs w:val="22"/>
                <w:lang w:eastAsia="zh-CN"/>
              </w:rPr>
            </w:pPr>
            <w:r>
              <w:rPr>
                <w:szCs w:val="22"/>
                <w:lang w:eastAsia="zh-CN"/>
              </w:rPr>
              <w:t>3,51</w:t>
            </w:r>
            <w:r w:rsidR="00752F0D">
              <w:rPr>
                <w:rFonts w:hint="eastAsia"/>
                <w:szCs w:val="22"/>
                <w:lang w:eastAsia="zh-CN"/>
              </w:rPr>
              <w:t>8</w:t>
            </w:r>
          </w:p>
        </w:tc>
      </w:tr>
      <w:tr w:rsidR="001575ED" w:rsidRPr="00663610" w:rsidTr="00006531">
        <w:trPr>
          <w:gridAfter w:val="1"/>
          <w:wAfter w:w="89" w:type="dxa"/>
        </w:trPr>
        <w:tc>
          <w:tcPr>
            <w:tcW w:w="2679" w:type="dxa"/>
            <w:gridSpan w:val="2"/>
          </w:tcPr>
          <w:p w:rsidR="001575ED" w:rsidRPr="00663610" w:rsidRDefault="001575ED" w:rsidP="00695C78">
            <w:pPr>
              <w:jc w:val="both"/>
              <w:rPr>
                <w:szCs w:val="22"/>
              </w:rPr>
            </w:pPr>
            <w:r w:rsidRPr="00663610">
              <w:rPr>
                <w:szCs w:val="22"/>
              </w:rPr>
              <w:t>Tax expense</w:t>
            </w:r>
          </w:p>
        </w:tc>
        <w:tc>
          <w:tcPr>
            <w:tcW w:w="1371" w:type="dxa"/>
            <w:tcBorders>
              <w:bottom w:val="single" w:sz="4" w:space="0" w:color="auto"/>
            </w:tcBorders>
          </w:tcPr>
          <w:p w:rsidR="001575ED" w:rsidRPr="00663610" w:rsidRDefault="001575ED" w:rsidP="007F7D22">
            <w:pPr>
              <w:tabs>
                <w:tab w:val="clear" w:pos="720"/>
                <w:tab w:val="clear" w:pos="1440"/>
                <w:tab w:val="decimal" w:pos="1083"/>
              </w:tabs>
              <w:jc w:val="both"/>
              <w:rPr>
                <w:szCs w:val="22"/>
                <w:lang w:eastAsia="zh-CN"/>
              </w:rPr>
            </w:pPr>
            <w:r w:rsidRPr="00663610">
              <w:rPr>
                <w:rFonts w:hint="eastAsia"/>
                <w:szCs w:val="22"/>
                <w:lang w:eastAsia="zh-CN"/>
              </w:rPr>
              <w:t>(</w:t>
            </w:r>
            <w:r w:rsidR="00752F0D">
              <w:rPr>
                <w:rFonts w:hint="eastAsia"/>
                <w:szCs w:val="22"/>
                <w:lang w:eastAsia="zh-CN"/>
              </w:rPr>
              <w:t>30</w:t>
            </w:r>
            <w:r w:rsidRPr="00663610">
              <w:rPr>
                <w:rFonts w:hint="eastAsia"/>
                <w:szCs w:val="22"/>
                <w:lang w:eastAsia="zh-CN"/>
              </w:rPr>
              <w:t>)</w:t>
            </w:r>
          </w:p>
        </w:tc>
        <w:tc>
          <w:tcPr>
            <w:tcW w:w="1653" w:type="dxa"/>
            <w:tcBorders>
              <w:bottom w:val="single" w:sz="4" w:space="0" w:color="auto"/>
            </w:tcBorders>
          </w:tcPr>
          <w:p w:rsidR="001575ED" w:rsidRPr="00663610" w:rsidRDefault="001601AB" w:rsidP="007F7D22">
            <w:pPr>
              <w:tabs>
                <w:tab w:val="clear" w:pos="720"/>
                <w:tab w:val="clear" w:pos="1440"/>
                <w:tab w:val="decimal" w:pos="1332"/>
              </w:tabs>
              <w:jc w:val="both"/>
              <w:rPr>
                <w:szCs w:val="22"/>
                <w:lang w:eastAsia="zh-CN"/>
              </w:rPr>
            </w:pPr>
            <w:r>
              <w:rPr>
                <w:szCs w:val="22"/>
                <w:lang w:eastAsia="zh-CN"/>
              </w:rPr>
              <w:t xml:space="preserve"> (690)</w:t>
            </w:r>
          </w:p>
        </w:tc>
        <w:tc>
          <w:tcPr>
            <w:tcW w:w="1693" w:type="dxa"/>
            <w:tcBorders>
              <w:bottom w:val="single" w:sz="4" w:space="0" w:color="auto"/>
            </w:tcBorders>
          </w:tcPr>
          <w:p w:rsidR="001575ED" w:rsidRPr="00663610" w:rsidRDefault="001601AB" w:rsidP="007F7D22">
            <w:pPr>
              <w:tabs>
                <w:tab w:val="clear" w:pos="720"/>
                <w:tab w:val="clear" w:pos="1440"/>
                <w:tab w:val="decimal" w:pos="1389"/>
              </w:tabs>
              <w:ind w:right="-2"/>
              <w:jc w:val="both"/>
              <w:rPr>
                <w:szCs w:val="22"/>
                <w:lang w:eastAsia="zh-CN"/>
              </w:rPr>
            </w:pPr>
            <w:r>
              <w:rPr>
                <w:szCs w:val="22"/>
                <w:lang w:eastAsia="zh-CN"/>
              </w:rPr>
              <w:t>(72)</w:t>
            </w:r>
          </w:p>
        </w:tc>
        <w:tc>
          <w:tcPr>
            <w:tcW w:w="1334" w:type="dxa"/>
            <w:tcBorders>
              <w:bottom w:val="single" w:sz="4" w:space="0" w:color="auto"/>
            </w:tcBorders>
            <w:shd w:val="clear" w:color="auto" w:fill="auto"/>
          </w:tcPr>
          <w:p w:rsidR="001575ED" w:rsidRPr="00663610" w:rsidRDefault="001601AB" w:rsidP="007F7D22">
            <w:pPr>
              <w:tabs>
                <w:tab w:val="clear" w:pos="720"/>
                <w:tab w:val="clear" w:pos="1440"/>
                <w:tab w:val="decimal" w:pos="1062"/>
              </w:tabs>
              <w:jc w:val="both"/>
              <w:rPr>
                <w:szCs w:val="22"/>
                <w:lang w:eastAsia="zh-CN"/>
              </w:rPr>
            </w:pPr>
            <w:r>
              <w:rPr>
                <w:szCs w:val="22"/>
                <w:lang w:eastAsia="zh-CN"/>
              </w:rPr>
              <w:t xml:space="preserve"> </w:t>
            </w:r>
            <w:r w:rsidR="00387958">
              <w:rPr>
                <w:szCs w:val="22"/>
                <w:lang w:eastAsia="zh-CN"/>
              </w:rPr>
              <w:t xml:space="preserve">   </w:t>
            </w:r>
            <w:r w:rsidR="00AB28EA">
              <w:rPr>
                <w:szCs w:val="22"/>
                <w:lang w:eastAsia="zh-CN"/>
              </w:rPr>
              <w:t>(</w:t>
            </w:r>
            <w:r w:rsidR="00752F0D">
              <w:rPr>
                <w:szCs w:val="22"/>
                <w:lang w:eastAsia="zh-CN"/>
              </w:rPr>
              <w:t>79</w:t>
            </w:r>
            <w:r w:rsidR="00752F0D">
              <w:rPr>
                <w:rFonts w:hint="eastAsia"/>
                <w:szCs w:val="22"/>
                <w:lang w:eastAsia="zh-CN"/>
              </w:rPr>
              <w:t>2</w:t>
            </w:r>
            <w:r w:rsidR="00AB28EA">
              <w:rPr>
                <w:szCs w:val="22"/>
                <w:lang w:eastAsia="zh-CN"/>
              </w:rPr>
              <w:t>)</w:t>
            </w:r>
          </w:p>
        </w:tc>
      </w:tr>
      <w:tr w:rsidR="001575ED" w:rsidRPr="00663610" w:rsidTr="00006531">
        <w:trPr>
          <w:gridAfter w:val="1"/>
          <w:wAfter w:w="89" w:type="dxa"/>
        </w:trPr>
        <w:tc>
          <w:tcPr>
            <w:tcW w:w="2679" w:type="dxa"/>
            <w:gridSpan w:val="2"/>
          </w:tcPr>
          <w:p w:rsidR="001575ED" w:rsidRPr="00663610" w:rsidRDefault="001575ED" w:rsidP="00796AF6">
            <w:pPr>
              <w:jc w:val="both"/>
              <w:rPr>
                <w:szCs w:val="22"/>
              </w:rPr>
            </w:pPr>
            <w:r w:rsidRPr="00663610">
              <w:rPr>
                <w:szCs w:val="22"/>
              </w:rPr>
              <w:t>(Loss)/Profit after tax</w:t>
            </w:r>
          </w:p>
        </w:tc>
        <w:tc>
          <w:tcPr>
            <w:tcW w:w="1371" w:type="dxa"/>
            <w:tcBorders>
              <w:top w:val="single" w:sz="4" w:space="0" w:color="auto"/>
              <w:bottom w:val="double" w:sz="4" w:space="0" w:color="auto"/>
            </w:tcBorders>
          </w:tcPr>
          <w:p w:rsidR="001575ED" w:rsidRPr="00663610" w:rsidRDefault="001575ED" w:rsidP="007F7D22">
            <w:pPr>
              <w:tabs>
                <w:tab w:val="clear" w:pos="720"/>
                <w:tab w:val="clear" w:pos="1440"/>
                <w:tab w:val="decimal" w:pos="1083"/>
              </w:tabs>
              <w:jc w:val="both"/>
              <w:rPr>
                <w:szCs w:val="22"/>
                <w:lang w:eastAsia="zh-CN"/>
              </w:rPr>
            </w:pPr>
            <w:r w:rsidRPr="00663610">
              <w:rPr>
                <w:rFonts w:hint="eastAsia"/>
                <w:szCs w:val="22"/>
                <w:lang w:eastAsia="zh-CN"/>
              </w:rPr>
              <w:t>(</w:t>
            </w:r>
            <w:r w:rsidR="001601AB">
              <w:rPr>
                <w:szCs w:val="22"/>
                <w:lang w:eastAsia="zh-CN"/>
              </w:rPr>
              <w:t>220</w:t>
            </w:r>
            <w:r w:rsidRPr="00663610">
              <w:rPr>
                <w:rFonts w:hint="eastAsia"/>
                <w:szCs w:val="22"/>
                <w:lang w:eastAsia="zh-CN"/>
              </w:rPr>
              <w:t>)</w:t>
            </w:r>
          </w:p>
        </w:tc>
        <w:tc>
          <w:tcPr>
            <w:tcW w:w="1653" w:type="dxa"/>
            <w:tcBorders>
              <w:top w:val="single" w:sz="4" w:space="0" w:color="auto"/>
              <w:bottom w:val="double" w:sz="4" w:space="0" w:color="auto"/>
            </w:tcBorders>
          </w:tcPr>
          <w:p w:rsidR="001575ED" w:rsidRPr="00663610" w:rsidRDefault="001601AB" w:rsidP="007F7D22">
            <w:pPr>
              <w:tabs>
                <w:tab w:val="clear" w:pos="720"/>
                <w:tab w:val="clear" w:pos="1440"/>
                <w:tab w:val="decimal" w:pos="1332"/>
              </w:tabs>
              <w:jc w:val="both"/>
              <w:rPr>
                <w:szCs w:val="22"/>
                <w:lang w:eastAsia="zh-CN"/>
              </w:rPr>
            </w:pPr>
            <w:r>
              <w:rPr>
                <w:szCs w:val="22"/>
                <w:lang w:eastAsia="zh-CN"/>
              </w:rPr>
              <w:t>2,674</w:t>
            </w:r>
          </w:p>
        </w:tc>
        <w:tc>
          <w:tcPr>
            <w:tcW w:w="1693" w:type="dxa"/>
            <w:tcBorders>
              <w:top w:val="single" w:sz="4" w:space="0" w:color="auto"/>
              <w:bottom w:val="double" w:sz="4" w:space="0" w:color="auto"/>
            </w:tcBorders>
          </w:tcPr>
          <w:p w:rsidR="001575ED" w:rsidRPr="00663610" w:rsidRDefault="001601AB" w:rsidP="007F7D22">
            <w:pPr>
              <w:tabs>
                <w:tab w:val="clear" w:pos="720"/>
                <w:tab w:val="clear" w:pos="1440"/>
                <w:tab w:val="decimal" w:pos="1389"/>
              </w:tabs>
              <w:ind w:right="-2"/>
              <w:jc w:val="both"/>
              <w:rPr>
                <w:szCs w:val="22"/>
                <w:lang w:eastAsia="zh-CN"/>
              </w:rPr>
            </w:pPr>
            <w:r>
              <w:rPr>
                <w:szCs w:val="22"/>
                <w:lang w:eastAsia="zh-CN"/>
              </w:rPr>
              <w:t>272</w:t>
            </w:r>
          </w:p>
        </w:tc>
        <w:tc>
          <w:tcPr>
            <w:tcW w:w="1334" w:type="dxa"/>
            <w:tcBorders>
              <w:top w:val="single" w:sz="4" w:space="0" w:color="auto"/>
              <w:bottom w:val="double" w:sz="4" w:space="0" w:color="auto"/>
            </w:tcBorders>
            <w:shd w:val="clear" w:color="auto" w:fill="auto"/>
          </w:tcPr>
          <w:p w:rsidR="001575ED" w:rsidRPr="00663610" w:rsidRDefault="00205FEA" w:rsidP="0026443F">
            <w:pPr>
              <w:tabs>
                <w:tab w:val="clear" w:pos="720"/>
                <w:tab w:val="clear" w:pos="1440"/>
                <w:tab w:val="decimal" w:pos="1062"/>
              </w:tabs>
              <w:jc w:val="both"/>
              <w:rPr>
                <w:szCs w:val="22"/>
                <w:lang w:eastAsia="zh-CN"/>
              </w:rPr>
            </w:pPr>
            <w:r>
              <w:rPr>
                <w:szCs w:val="22"/>
                <w:lang w:eastAsia="zh-CN"/>
              </w:rPr>
              <w:t>2,726</w:t>
            </w:r>
          </w:p>
        </w:tc>
      </w:tr>
      <w:tr w:rsidR="001575ED" w:rsidRPr="00663610" w:rsidTr="00006531">
        <w:trPr>
          <w:gridAfter w:val="1"/>
          <w:wAfter w:w="89" w:type="dxa"/>
        </w:trPr>
        <w:tc>
          <w:tcPr>
            <w:tcW w:w="2679" w:type="dxa"/>
            <w:gridSpan w:val="2"/>
          </w:tcPr>
          <w:p w:rsidR="001575ED" w:rsidRPr="00663610" w:rsidRDefault="001575ED" w:rsidP="007D63EE">
            <w:pPr>
              <w:jc w:val="both"/>
              <w:rPr>
                <w:szCs w:val="22"/>
              </w:rPr>
            </w:pPr>
          </w:p>
        </w:tc>
        <w:tc>
          <w:tcPr>
            <w:tcW w:w="1371" w:type="dxa"/>
            <w:tcBorders>
              <w:top w:val="double" w:sz="4" w:space="0" w:color="auto"/>
            </w:tcBorders>
          </w:tcPr>
          <w:p w:rsidR="001575ED" w:rsidRPr="00663610" w:rsidRDefault="001575ED" w:rsidP="007D63EE">
            <w:pPr>
              <w:jc w:val="right"/>
              <w:rPr>
                <w:szCs w:val="22"/>
              </w:rPr>
            </w:pPr>
          </w:p>
        </w:tc>
        <w:tc>
          <w:tcPr>
            <w:tcW w:w="1653" w:type="dxa"/>
            <w:tcBorders>
              <w:top w:val="double" w:sz="4" w:space="0" w:color="auto"/>
            </w:tcBorders>
          </w:tcPr>
          <w:p w:rsidR="001575ED" w:rsidRPr="00663610" w:rsidRDefault="001575ED" w:rsidP="007F7D22">
            <w:pPr>
              <w:tabs>
                <w:tab w:val="clear" w:pos="1440"/>
                <w:tab w:val="decimal" w:pos="1332"/>
              </w:tabs>
              <w:jc w:val="both"/>
              <w:rPr>
                <w:szCs w:val="22"/>
              </w:rPr>
            </w:pPr>
          </w:p>
        </w:tc>
        <w:tc>
          <w:tcPr>
            <w:tcW w:w="1693" w:type="dxa"/>
            <w:tcBorders>
              <w:top w:val="double" w:sz="4" w:space="0" w:color="auto"/>
            </w:tcBorders>
          </w:tcPr>
          <w:p w:rsidR="001575ED" w:rsidRPr="00663610" w:rsidRDefault="001575ED" w:rsidP="007F7D22">
            <w:pPr>
              <w:tabs>
                <w:tab w:val="decimal" w:pos="1389"/>
              </w:tabs>
              <w:ind w:right="-2"/>
              <w:jc w:val="both"/>
              <w:rPr>
                <w:szCs w:val="22"/>
              </w:rPr>
            </w:pPr>
          </w:p>
        </w:tc>
        <w:tc>
          <w:tcPr>
            <w:tcW w:w="1334" w:type="dxa"/>
            <w:tcBorders>
              <w:top w:val="double" w:sz="4" w:space="0" w:color="auto"/>
            </w:tcBorders>
          </w:tcPr>
          <w:p w:rsidR="001575ED" w:rsidRPr="00663610" w:rsidRDefault="001575ED" w:rsidP="007F7D22">
            <w:pPr>
              <w:tabs>
                <w:tab w:val="decimal" w:pos="1062"/>
              </w:tabs>
              <w:jc w:val="both"/>
              <w:rPr>
                <w:szCs w:val="22"/>
              </w:rPr>
            </w:pPr>
          </w:p>
        </w:tc>
      </w:tr>
      <w:tr w:rsidR="00631B07" w:rsidRPr="00663610" w:rsidTr="00006531">
        <w:trPr>
          <w:gridBefore w:val="1"/>
          <w:wBefore w:w="6" w:type="dxa"/>
        </w:trPr>
        <w:tc>
          <w:tcPr>
            <w:tcW w:w="2673" w:type="dxa"/>
          </w:tcPr>
          <w:p w:rsidR="00631B07" w:rsidRPr="00663610" w:rsidRDefault="00631B07" w:rsidP="00905CBE">
            <w:pPr>
              <w:jc w:val="both"/>
              <w:rPr>
                <w:b/>
                <w:szCs w:val="22"/>
              </w:rPr>
            </w:pPr>
            <w:r w:rsidRPr="00663610">
              <w:rPr>
                <w:b/>
                <w:szCs w:val="22"/>
              </w:rPr>
              <w:t>Consolidated Statement of Financial Position</w:t>
            </w:r>
          </w:p>
        </w:tc>
        <w:tc>
          <w:tcPr>
            <w:tcW w:w="1371" w:type="dxa"/>
          </w:tcPr>
          <w:p w:rsidR="00631B07" w:rsidRPr="00663610" w:rsidRDefault="00631B07" w:rsidP="00130836">
            <w:pPr>
              <w:tabs>
                <w:tab w:val="clear" w:pos="720"/>
                <w:tab w:val="clear" w:pos="1440"/>
              </w:tabs>
              <w:ind w:right="72"/>
              <w:jc w:val="right"/>
              <w:rPr>
                <w:szCs w:val="22"/>
                <w:lang w:eastAsia="zh-CN"/>
              </w:rPr>
            </w:pPr>
          </w:p>
        </w:tc>
        <w:tc>
          <w:tcPr>
            <w:tcW w:w="1653" w:type="dxa"/>
          </w:tcPr>
          <w:p w:rsidR="00631B07" w:rsidRPr="00663610" w:rsidRDefault="00631B07" w:rsidP="007F7D22">
            <w:pPr>
              <w:tabs>
                <w:tab w:val="clear" w:pos="720"/>
                <w:tab w:val="clear" w:pos="1440"/>
                <w:tab w:val="decimal" w:pos="1332"/>
              </w:tabs>
              <w:jc w:val="both"/>
              <w:rPr>
                <w:szCs w:val="22"/>
                <w:lang w:eastAsia="zh-CN"/>
              </w:rPr>
            </w:pPr>
          </w:p>
        </w:tc>
        <w:tc>
          <w:tcPr>
            <w:tcW w:w="1693" w:type="dxa"/>
          </w:tcPr>
          <w:p w:rsidR="00631B07" w:rsidRPr="00663610" w:rsidRDefault="00631B07" w:rsidP="007F7D22">
            <w:pPr>
              <w:tabs>
                <w:tab w:val="clear" w:pos="720"/>
                <w:tab w:val="clear" w:pos="1440"/>
                <w:tab w:val="decimal" w:pos="1389"/>
              </w:tabs>
              <w:ind w:right="-2"/>
              <w:jc w:val="both"/>
              <w:rPr>
                <w:szCs w:val="22"/>
                <w:lang w:eastAsia="zh-CN"/>
              </w:rPr>
            </w:pPr>
          </w:p>
        </w:tc>
        <w:tc>
          <w:tcPr>
            <w:tcW w:w="1423" w:type="dxa"/>
            <w:gridSpan w:val="2"/>
          </w:tcPr>
          <w:p w:rsidR="00631B07" w:rsidRPr="00663610" w:rsidRDefault="00631B07" w:rsidP="0026443F">
            <w:pPr>
              <w:tabs>
                <w:tab w:val="clear" w:pos="720"/>
                <w:tab w:val="clear" w:pos="1440"/>
                <w:tab w:val="decimal" w:pos="1062"/>
              </w:tabs>
              <w:jc w:val="both"/>
              <w:rPr>
                <w:szCs w:val="22"/>
                <w:lang w:eastAsia="zh-CN"/>
              </w:rPr>
            </w:pPr>
          </w:p>
        </w:tc>
      </w:tr>
      <w:tr w:rsidR="00A66095" w:rsidRPr="00663610" w:rsidTr="00006531">
        <w:trPr>
          <w:gridBefore w:val="1"/>
          <w:wBefore w:w="6" w:type="dxa"/>
        </w:trPr>
        <w:tc>
          <w:tcPr>
            <w:tcW w:w="2673" w:type="dxa"/>
          </w:tcPr>
          <w:p w:rsidR="00A66095" w:rsidRPr="00663610" w:rsidRDefault="00A66095" w:rsidP="00905CBE">
            <w:pPr>
              <w:jc w:val="both"/>
              <w:rPr>
                <w:szCs w:val="22"/>
              </w:rPr>
            </w:pPr>
            <w:r w:rsidRPr="00663610">
              <w:rPr>
                <w:szCs w:val="22"/>
              </w:rPr>
              <w:t>Segment assets</w:t>
            </w:r>
          </w:p>
        </w:tc>
        <w:tc>
          <w:tcPr>
            <w:tcW w:w="1371" w:type="dxa"/>
          </w:tcPr>
          <w:p w:rsidR="00A66095" w:rsidRPr="00663610" w:rsidRDefault="00B57A31" w:rsidP="007F7D22">
            <w:pPr>
              <w:tabs>
                <w:tab w:val="clear" w:pos="720"/>
                <w:tab w:val="clear" w:pos="1440"/>
                <w:tab w:val="decimal" w:pos="1083"/>
              </w:tabs>
              <w:jc w:val="right"/>
              <w:rPr>
                <w:szCs w:val="22"/>
                <w:lang w:eastAsia="zh-CN"/>
              </w:rPr>
            </w:pPr>
            <w:r>
              <w:rPr>
                <w:szCs w:val="22"/>
                <w:lang w:eastAsia="zh-CN"/>
              </w:rPr>
              <w:t>6</w:t>
            </w:r>
            <w:r w:rsidR="00A66095">
              <w:rPr>
                <w:szCs w:val="22"/>
                <w:lang w:eastAsia="zh-CN"/>
              </w:rPr>
              <w:t>,</w:t>
            </w:r>
            <w:r>
              <w:rPr>
                <w:szCs w:val="22"/>
                <w:lang w:eastAsia="zh-CN"/>
              </w:rPr>
              <w:t>723</w:t>
            </w:r>
          </w:p>
        </w:tc>
        <w:tc>
          <w:tcPr>
            <w:tcW w:w="1653" w:type="dxa"/>
          </w:tcPr>
          <w:p w:rsidR="00A66095" w:rsidRPr="00663610" w:rsidRDefault="00B57A31" w:rsidP="007F7D22">
            <w:pPr>
              <w:tabs>
                <w:tab w:val="clear" w:pos="720"/>
                <w:tab w:val="clear" w:pos="1440"/>
                <w:tab w:val="decimal" w:pos="1332"/>
              </w:tabs>
              <w:jc w:val="both"/>
              <w:rPr>
                <w:szCs w:val="22"/>
                <w:lang w:eastAsia="zh-CN"/>
              </w:rPr>
            </w:pPr>
            <w:r>
              <w:rPr>
                <w:szCs w:val="22"/>
                <w:lang w:eastAsia="zh-CN"/>
              </w:rPr>
              <w:t>74,</w:t>
            </w:r>
            <w:r w:rsidR="00D540B2">
              <w:rPr>
                <w:rFonts w:hint="eastAsia"/>
                <w:szCs w:val="22"/>
                <w:lang w:eastAsia="zh-CN"/>
              </w:rPr>
              <w:t>453</w:t>
            </w:r>
          </w:p>
        </w:tc>
        <w:tc>
          <w:tcPr>
            <w:tcW w:w="1693" w:type="dxa"/>
          </w:tcPr>
          <w:p w:rsidR="00A66095" w:rsidRPr="00663610" w:rsidRDefault="00B57A31" w:rsidP="007F7D22">
            <w:pPr>
              <w:tabs>
                <w:tab w:val="clear" w:pos="720"/>
                <w:tab w:val="clear" w:pos="1440"/>
                <w:tab w:val="decimal" w:pos="1389"/>
              </w:tabs>
              <w:ind w:right="-2"/>
              <w:jc w:val="both"/>
              <w:rPr>
                <w:szCs w:val="22"/>
                <w:lang w:eastAsia="zh-CN"/>
              </w:rPr>
            </w:pPr>
            <w:r>
              <w:rPr>
                <w:szCs w:val="22"/>
                <w:lang w:eastAsia="zh-CN"/>
              </w:rPr>
              <w:t>10,656</w:t>
            </w:r>
          </w:p>
        </w:tc>
        <w:tc>
          <w:tcPr>
            <w:tcW w:w="1423" w:type="dxa"/>
            <w:gridSpan w:val="2"/>
          </w:tcPr>
          <w:p w:rsidR="00A66095" w:rsidRPr="00663610" w:rsidRDefault="00B57A31" w:rsidP="0026443F">
            <w:pPr>
              <w:tabs>
                <w:tab w:val="clear" w:pos="720"/>
                <w:tab w:val="clear" w:pos="1440"/>
                <w:tab w:val="decimal" w:pos="1062"/>
              </w:tabs>
              <w:jc w:val="both"/>
              <w:rPr>
                <w:szCs w:val="22"/>
                <w:lang w:eastAsia="zh-CN"/>
              </w:rPr>
            </w:pPr>
            <w:r>
              <w:rPr>
                <w:szCs w:val="22"/>
                <w:lang w:eastAsia="zh-CN"/>
              </w:rPr>
              <w:t>9</w:t>
            </w:r>
            <w:r w:rsidR="00D540B2">
              <w:rPr>
                <w:rFonts w:hint="eastAsia"/>
                <w:szCs w:val="22"/>
                <w:lang w:eastAsia="zh-CN"/>
              </w:rPr>
              <w:t>1</w:t>
            </w:r>
            <w:r>
              <w:rPr>
                <w:szCs w:val="22"/>
                <w:lang w:eastAsia="zh-CN"/>
              </w:rPr>
              <w:t>,</w:t>
            </w:r>
            <w:r w:rsidR="00D540B2">
              <w:rPr>
                <w:rFonts w:hint="eastAsia"/>
                <w:szCs w:val="22"/>
                <w:lang w:eastAsia="zh-CN"/>
              </w:rPr>
              <w:t>832</w:t>
            </w:r>
          </w:p>
        </w:tc>
      </w:tr>
      <w:tr w:rsidR="005C7D4D" w:rsidRPr="00663610" w:rsidTr="00006531">
        <w:trPr>
          <w:gridBefore w:val="1"/>
          <w:wBefore w:w="6" w:type="dxa"/>
        </w:trPr>
        <w:tc>
          <w:tcPr>
            <w:tcW w:w="2673" w:type="dxa"/>
          </w:tcPr>
          <w:p w:rsidR="005C7D4D" w:rsidRPr="00663610" w:rsidRDefault="005C7D4D" w:rsidP="00905CBE">
            <w:pPr>
              <w:jc w:val="both"/>
              <w:rPr>
                <w:szCs w:val="22"/>
                <w:lang w:eastAsia="zh-CN"/>
              </w:rPr>
            </w:pPr>
            <w:r w:rsidRPr="00663610">
              <w:rPr>
                <w:szCs w:val="22"/>
              </w:rPr>
              <w:t>Segment liabilities</w:t>
            </w:r>
          </w:p>
        </w:tc>
        <w:tc>
          <w:tcPr>
            <w:tcW w:w="1371" w:type="dxa"/>
          </w:tcPr>
          <w:p w:rsidR="005C7D4D" w:rsidRPr="00663610" w:rsidRDefault="00B57A31" w:rsidP="007F7D22">
            <w:pPr>
              <w:tabs>
                <w:tab w:val="clear" w:pos="720"/>
                <w:tab w:val="clear" w:pos="1440"/>
                <w:tab w:val="decimal" w:pos="1083"/>
              </w:tabs>
              <w:jc w:val="right"/>
              <w:rPr>
                <w:szCs w:val="22"/>
                <w:lang w:eastAsia="zh-CN"/>
              </w:rPr>
            </w:pPr>
            <w:r>
              <w:rPr>
                <w:szCs w:val="22"/>
                <w:lang w:eastAsia="zh-CN"/>
              </w:rPr>
              <w:t>549</w:t>
            </w:r>
          </w:p>
        </w:tc>
        <w:tc>
          <w:tcPr>
            <w:tcW w:w="1653" w:type="dxa"/>
          </w:tcPr>
          <w:p w:rsidR="005C7D4D" w:rsidRPr="00663610" w:rsidRDefault="00B57A31" w:rsidP="007F7D22">
            <w:pPr>
              <w:tabs>
                <w:tab w:val="clear" w:pos="720"/>
                <w:tab w:val="clear" w:pos="1440"/>
                <w:tab w:val="decimal" w:pos="1332"/>
              </w:tabs>
              <w:jc w:val="both"/>
              <w:rPr>
                <w:szCs w:val="22"/>
                <w:lang w:eastAsia="zh-CN"/>
              </w:rPr>
            </w:pPr>
            <w:r>
              <w:rPr>
                <w:szCs w:val="22"/>
                <w:lang w:eastAsia="zh-CN"/>
              </w:rPr>
              <w:t>15,</w:t>
            </w:r>
            <w:r w:rsidR="00D540B2">
              <w:rPr>
                <w:rFonts w:hint="eastAsia"/>
                <w:szCs w:val="22"/>
                <w:lang w:eastAsia="zh-CN"/>
              </w:rPr>
              <w:t>485</w:t>
            </w:r>
          </w:p>
        </w:tc>
        <w:tc>
          <w:tcPr>
            <w:tcW w:w="1693" w:type="dxa"/>
          </w:tcPr>
          <w:p w:rsidR="005C7D4D" w:rsidRPr="00663610" w:rsidRDefault="00B57A31" w:rsidP="007F7D22">
            <w:pPr>
              <w:tabs>
                <w:tab w:val="clear" w:pos="720"/>
                <w:tab w:val="clear" w:pos="1440"/>
                <w:tab w:val="decimal" w:pos="1389"/>
              </w:tabs>
              <w:ind w:right="-2"/>
              <w:jc w:val="both"/>
              <w:rPr>
                <w:szCs w:val="22"/>
                <w:lang w:eastAsia="zh-CN"/>
              </w:rPr>
            </w:pPr>
            <w:r>
              <w:rPr>
                <w:szCs w:val="22"/>
                <w:lang w:eastAsia="zh-CN"/>
              </w:rPr>
              <w:t>1,269</w:t>
            </w:r>
          </w:p>
        </w:tc>
        <w:tc>
          <w:tcPr>
            <w:tcW w:w="1423" w:type="dxa"/>
            <w:gridSpan w:val="2"/>
          </w:tcPr>
          <w:p w:rsidR="005C7D4D" w:rsidRPr="00663610" w:rsidRDefault="00B57A31" w:rsidP="0026443F">
            <w:pPr>
              <w:tabs>
                <w:tab w:val="clear" w:pos="720"/>
                <w:tab w:val="clear" w:pos="1440"/>
                <w:tab w:val="decimal" w:pos="1062"/>
              </w:tabs>
              <w:jc w:val="both"/>
              <w:rPr>
                <w:szCs w:val="22"/>
                <w:lang w:eastAsia="zh-CN"/>
              </w:rPr>
            </w:pPr>
            <w:r>
              <w:rPr>
                <w:szCs w:val="22"/>
                <w:lang w:eastAsia="zh-CN"/>
              </w:rPr>
              <w:t>17,</w:t>
            </w:r>
            <w:r w:rsidR="00D540B2">
              <w:rPr>
                <w:rFonts w:hint="eastAsia"/>
                <w:szCs w:val="22"/>
                <w:lang w:eastAsia="zh-CN"/>
              </w:rPr>
              <w:t>303</w:t>
            </w:r>
          </w:p>
        </w:tc>
      </w:tr>
    </w:tbl>
    <w:p w:rsidR="002D3D46" w:rsidRDefault="002D3D46" w:rsidP="00E157C0">
      <w:pPr>
        <w:pStyle w:val="bodytest"/>
        <w:keepNext w:val="0"/>
        <w:outlineLvl w:val="9"/>
        <w:rPr>
          <w:szCs w:val="22"/>
          <w:lang w:eastAsia="zh-CN"/>
        </w:rPr>
      </w:pPr>
    </w:p>
    <w:p w:rsidR="002D3D46" w:rsidRDefault="002D3D46" w:rsidP="002D3D46">
      <w:pPr>
        <w:rPr>
          <w:lang w:eastAsia="zh-CN"/>
        </w:rPr>
      </w:pPr>
      <w:r>
        <w:rPr>
          <w:lang w:eastAsia="zh-CN"/>
        </w:rPr>
        <w:br w:type="page"/>
      </w:r>
    </w:p>
    <w:p w:rsidR="00B85D43" w:rsidRPr="00663610" w:rsidRDefault="00B85D43" w:rsidP="00E157C0">
      <w:pPr>
        <w:pStyle w:val="bodytest"/>
        <w:keepNext w:val="0"/>
        <w:outlineLvl w:val="9"/>
        <w:rPr>
          <w:szCs w:val="22"/>
          <w:lang w:eastAsia="zh-CN"/>
        </w:rPr>
      </w:pPr>
    </w:p>
    <w:p w:rsidR="00E34F8A" w:rsidRPr="00663610" w:rsidRDefault="00E34F8A" w:rsidP="00E34F8A">
      <w:pPr>
        <w:pStyle w:val="BodyText"/>
        <w:numPr>
          <w:ilvl w:val="0"/>
          <w:numId w:val="26"/>
        </w:numPr>
        <w:tabs>
          <w:tab w:val="clear" w:pos="1080"/>
          <w:tab w:val="clear" w:pos="1440"/>
        </w:tabs>
        <w:ind w:hanging="1080"/>
        <w:rPr>
          <w:b/>
          <w:bCs/>
          <w:szCs w:val="22"/>
        </w:rPr>
      </w:pPr>
      <w:r w:rsidRPr="00663610">
        <w:rPr>
          <w:rFonts w:hint="eastAsia"/>
          <w:b/>
          <w:bCs/>
          <w:szCs w:val="22"/>
          <w:lang w:eastAsia="zh-CN"/>
        </w:rPr>
        <w:t>S</w:t>
      </w:r>
      <w:r w:rsidRPr="00663610">
        <w:rPr>
          <w:b/>
          <w:bCs/>
          <w:szCs w:val="22"/>
        </w:rPr>
        <w:t>egmental Reporting</w:t>
      </w:r>
    </w:p>
    <w:p w:rsidR="00E157C0" w:rsidRPr="00663610" w:rsidRDefault="00E157C0" w:rsidP="00B85D43">
      <w:pPr>
        <w:rPr>
          <w:lang w:eastAsia="zh-CN"/>
        </w:rPr>
      </w:pPr>
    </w:p>
    <w:p w:rsidR="00E157C0" w:rsidRPr="00663610" w:rsidRDefault="00E157C0" w:rsidP="00E157C0">
      <w:pPr>
        <w:pStyle w:val="bodytest"/>
        <w:keepNext w:val="0"/>
        <w:outlineLvl w:val="9"/>
        <w:rPr>
          <w:b/>
          <w:szCs w:val="22"/>
          <w:u w:val="single"/>
          <w:lang w:eastAsia="zh-CN"/>
        </w:rPr>
      </w:pPr>
      <w:r w:rsidRPr="00663610">
        <w:rPr>
          <w:rFonts w:hint="eastAsia"/>
          <w:b/>
          <w:szCs w:val="22"/>
          <w:u w:val="single"/>
          <w:lang w:eastAsia="zh-CN"/>
        </w:rPr>
        <w:t>3 months ended 3</w:t>
      </w:r>
      <w:r w:rsidR="008836BA">
        <w:rPr>
          <w:b/>
          <w:szCs w:val="22"/>
          <w:u w:val="single"/>
          <w:lang w:eastAsia="zh-CN"/>
        </w:rPr>
        <w:t>1</w:t>
      </w:r>
      <w:r w:rsidRPr="00663610">
        <w:rPr>
          <w:rFonts w:hint="eastAsia"/>
          <w:b/>
          <w:szCs w:val="22"/>
          <w:u w:val="single"/>
          <w:lang w:eastAsia="zh-CN"/>
        </w:rPr>
        <w:t xml:space="preserve"> </w:t>
      </w:r>
      <w:r w:rsidR="00150EBC">
        <w:rPr>
          <w:b/>
          <w:szCs w:val="22"/>
          <w:u w:val="single"/>
          <w:lang w:eastAsia="zh-CN"/>
        </w:rPr>
        <w:t>March</w:t>
      </w:r>
      <w:r w:rsidRPr="00663610">
        <w:rPr>
          <w:rFonts w:hint="eastAsia"/>
          <w:b/>
          <w:szCs w:val="22"/>
          <w:u w:val="single"/>
          <w:lang w:eastAsia="zh-CN"/>
        </w:rPr>
        <w:t xml:space="preserve"> 201</w:t>
      </w:r>
      <w:r w:rsidR="00150EBC">
        <w:rPr>
          <w:b/>
          <w:szCs w:val="22"/>
          <w:u w:val="single"/>
          <w:lang w:eastAsia="zh-CN"/>
        </w:rPr>
        <w:t>2</w:t>
      </w:r>
    </w:p>
    <w:p w:rsidR="00E157C0" w:rsidRPr="00663610" w:rsidRDefault="00E157C0" w:rsidP="00E157C0">
      <w:pPr>
        <w:pStyle w:val="bodytest"/>
        <w:keepNext w:val="0"/>
        <w:outlineLvl w:val="9"/>
        <w:rPr>
          <w:szCs w:val="22"/>
          <w:lang w:eastAsia="zh-CN"/>
        </w:rPr>
      </w:pPr>
    </w:p>
    <w:tbl>
      <w:tblPr>
        <w:tblW w:w="8897" w:type="dxa"/>
        <w:tblInd w:w="738" w:type="dxa"/>
        <w:tblLayout w:type="fixed"/>
        <w:tblLook w:val="0000" w:firstRow="0" w:lastRow="0" w:firstColumn="0" w:lastColumn="0" w:noHBand="0" w:noVBand="0"/>
      </w:tblPr>
      <w:tblGrid>
        <w:gridCol w:w="6"/>
        <w:gridCol w:w="2673"/>
        <w:gridCol w:w="1371"/>
        <w:gridCol w:w="1800"/>
        <w:gridCol w:w="1710"/>
        <w:gridCol w:w="1248"/>
        <w:gridCol w:w="89"/>
      </w:tblGrid>
      <w:tr w:rsidR="001575ED" w:rsidRPr="00663610" w:rsidTr="00A06C04">
        <w:trPr>
          <w:gridAfter w:val="1"/>
          <w:wAfter w:w="89" w:type="dxa"/>
        </w:trPr>
        <w:tc>
          <w:tcPr>
            <w:tcW w:w="2679" w:type="dxa"/>
            <w:gridSpan w:val="2"/>
          </w:tcPr>
          <w:p w:rsidR="001575ED" w:rsidRPr="00663610" w:rsidRDefault="001575ED" w:rsidP="003A51C3">
            <w:pPr>
              <w:jc w:val="both"/>
              <w:rPr>
                <w:szCs w:val="22"/>
              </w:rPr>
            </w:pPr>
          </w:p>
        </w:tc>
        <w:tc>
          <w:tcPr>
            <w:tcW w:w="1371" w:type="dxa"/>
          </w:tcPr>
          <w:p w:rsidR="001575ED" w:rsidRPr="00663610" w:rsidRDefault="001575ED" w:rsidP="003A51C3">
            <w:pPr>
              <w:jc w:val="right"/>
              <w:rPr>
                <w:szCs w:val="22"/>
              </w:rPr>
            </w:pPr>
            <w:r w:rsidRPr="00663610">
              <w:rPr>
                <w:szCs w:val="22"/>
              </w:rPr>
              <w:t>Investment Holding</w:t>
            </w:r>
          </w:p>
        </w:tc>
        <w:tc>
          <w:tcPr>
            <w:tcW w:w="1800" w:type="dxa"/>
          </w:tcPr>
          <w:p w:rsidR="001575ED" w:rsidRPr="00663610" w:rsidRDefault="001575ED" w:rsidP="00A06C04">
            <w:pPr>
              <w:tabs>
                <w:tab w:val="clear" w:pos="1440"/>
                <w:tab w:val="left" w:pos="1602"/>
              </w:tabs>
              <w:jc w:val="right"/>
              <w:rPr>
                <w:szCs w:val="22"/>
              </w:rPr>
            </w:pPr>
            <w:r w:rsidRPr="00663610">
              <w:rPr>
                <w:szCs w:val="22"/>
              </w:rPr>
              <w:t>Manufacturing of Polymeric product</w:t>
            </w:r>
          </w:p>
        </w:tc>
        <w:tc>
          <w:tcPr>
            <w:tcW w:w="1710" w:type="dxa"/>
          </w:tcPr>
          <w:p w:rsidR="001575ED" w:rsidRPr="00663610" w:rsidRDefault="001575ED" w:rsidP="003A51C3">
            <w:pPr>
              <w:jc w:val="right"/>
              <w:rPr>
                <w:szCs w:val="22"/>
              </w:rPr>
            </w:pPr>
            <w:r w:rsidRPr="00663610">
              <w:rPr>
                <w:szCs w:val="22"/>
              </w:rPr>
              <w:t>Manufacturing of Oleochemical product</w:t>
            </w:r>
          </w:p>
        </w:tc>
        <w:tc>
          <w:tcPr>
            <w:tcW w:w="1248" w:type="dxa"/>
          </w:tcPr>
          <w:p w:rsidR="001575ED" w:rsidRPr="00663610" w:rsidRDefault="001575ED" w:rsidP="003A51C3">
            <w:pPr>
              <w:jc w:val="right"/>
              <w:rPr>
                <w:szCs w:val="22"/>
              </w:rPr>
            </w:pPr>
            <w:r w:rsidRPr="00663610">
              <w:rPr>
                <w:szCs w:val="22"/>
              </w:rPr>
              <w:t>Total</w:t>
            </w:r>
          </w:p>
        </w:tc>
      </w:tr>
      <w:tr w:rsidR="001575ED" w:rsidRPr="00663610" w:rsidTr="00A06C04">
        <w:trPr>
          <w:gridAfter w:val="1"/>
          <w:wAfter w:w="89" w:type="dxa"/>
        </w:trPr>
        <w:tc>
          <w:tcPr>
            <w:tcW w:w="2679" w:type="dxa"/>
            <w:gridSpan w:val="2"/>
          </w:tcPr>
          <w:p w:rsidR="001575ED" w:rsidRPr="00663610" w:rsidRDefault="001575ED" w:rsidP="003A51C3">
            <w:pPr>
              <w:jc w:val="both"/>
              <w:rPr>
                <w:szCs w:val="22"/>
              </w:rPr>
            </w:pPr>
          </w:p>
        </w:tc>
        <w:tc>
          <w:tcPr>
            <w:tcW w:w="1371" w:type="dxa"/>
          </w:tcPr>
          <w:p w:rsidR="001575ED" w:rsidRPr="00663610" w:rsidRDefault="001575ED" w:rsidP="003A51C3">
            <w:pPr>
              <w:jc w:val="right"/>
              <w:rPr>
                <w:szCs w:val="22"/>
              </w:rPr>
            </w:pPr>
            <w:r w:rsidRPr="00663610">
              <w:rPr>
                <w:szCs w:val="22"/>
              </w:rPr>
              <w:t>RM’000</w:t>
            </w:r>
          </w:p>
        </w:tc>
        <w:tc>
          <w:tcPr>
            <w:tcW w:w="1800" w:type="dxa"/>
          </w:tcPr>
          <w:p w:rsidR="001575ED" w:rsidRPr="00663610" w:rsidRDefault="001575ED" w:rsidP="003A51C3">
            <w:pPr>
              <w:jc w:val="right"/>
              <w:rPr>
                <w:szCs w:val="22"/>
              </w:rPr>
            </w:pPr>
            <w:r w:rsidRPr="00663610">
              <w:rPr>
                <w:szCs w:val="22"/>
              </w:rPr>
              <w:t>RM’000</w:t>
            </w:r>
          </w:p>
        </w:tc>
        <w:tc>
          <w:tcPr>
            <w:tcW w:w="1710" w:type="dxa"/>
          </w:tcPr>
          <w:p w:rsidR="001575ED" w:rsidRPr="00663610" w:rsidRDefault="001575ED" w:rsidP="003A51C3">
            <w:pPr>
              <w:jc w:val="right"/>
              <w:rPr>
                <w:szCs w:val="22"/>
              </w:rPr>
            </w:pPr>
            <w:r w:rsidRPr="00663610">
              <w:rPr>
                <w:szCs w:val="22"/>
              </w:rPr>
              <w:t>RM’000</w:t>
            </w:r>
          </w:p>
        </w:tc>
        <w:tc>
          <w:tcPr>
            <w:tcW w:w="1248" w:type="dxa"/>
          </w:tcPr>
          <w:p w:rsidR="001575ED" w:rsidRPr="00663610" w:rsidRDefault="001575ED" w:rsidP="003A51C3">
            <w:pPr>
              <w:jc w:val="right"/>
              <w:rPr>
                <w:szCs w:val="22"/>
              </w:rPr>
            </w:pPr>
            <w:r w:rsidRPr="00663610">
              <w:rPr>
                <w:szCs w:val="22"/>
              </w:rPr>
              <w:t>RM’000</w:t>
            </w:r>
          </w:p>
        </w:tc>
      </w:tr>
      <w:tr w:rsidR="001575ED" w:rsidRPr="00663610" w:rsidTr="00700ABC">
        <w:trPr>
          <w:gridAfter w:val="1"/>
          <w:wAfter w:w="89" w:type="dxa"/>
          <w:trHeight w:val="189"/>
        </w:trPr>
        <w:tc>
          <w:tcPr>
            <w:tcW w:w="2679" w:type="dxa"/>
            <w:gridSpan w:val="2"/>
          </w:tcPr>
          <w:p w:rsidR="001575ED" w:rsidRPr="00663610" w:rsidRDefault="001575ED" w:rsidP="003A51C3">
            <w:pPr>
              <w:rPr>
                <w:b/>
                <w:szCs w:val="22"/>
              </w:rPr>
            </w:pPr>
            <w:r w:rsidRPr="00663610">
              <w:rPr>
                <w:b/>
                <w:szCs w:val="22"/>
              </w:rPr>
              <w:t>REVENUE</w:t>
            </w:r>
          </w:p>
        </w:tc>
        <w:tc>
          <w:tcPr>
            <w:tcW w:w="1371" w:type="dxa"/>
          </w:tcPr>
          <w:p w:rsidR="001575ED" w:rsidRPr="00663610" w:rsidRDefault="001575ED" w:rsidP="003A51C3">
            <w:pPr>
              <w:jc w:val="right"/>
              <w:rPr>
                <w:szCs w:val="22"/>
              </w:rPr>
            </w:pPr>
          </w:p>
        </w:tc>
        <w:tc>
          <w:tcPr>
            <w:tcW w:w="1800" w:type="dxa"/>
          </w:tcPr>
          <w:p w:rsidR="001575ED" w:rsidRPr="00663610" w:rsidRDefault="001575ED" w:rsidP="003A51C3">
            <w:pPr>
              <w:jc w:val="right"/>
              <w:rPr>
                <w:szCs w:val="22"/>
              </w:rPr>
            </w:pPr>
          </w:p>
        </w:tc>
        <w:tc>
          <w:tcPr>
            <w:tcW w:w="1710" w:type="dxa"/>
          </w:tcPr>
          <w:p w:rsidR="001575ED" w:rsidRPr="00663610" w:rsidRDefault="001575ED" w:rsidP="003A51C3">
            <w:pPr>
              <w:jc w:val="right"/>
              <w:rPr>
                <w:szCs w:val="22"/>
              </w:rPr>
            </w:pPr>
          </w:p>
        </w:tc>
        <w:tc>
          <w:tcPr>
            <w:tcW w:w="1248" w:type="dxa"/>
          </w:tcPr>
          <w:p w:rsidR="001575ED" w:rsidRPr="00663610" w:rsidRDefault="001575ED" w:rsidP="003A51C3">
            <w:pPr>
              <w:jc w:val="right"/>
              <w:rPr>
                <w:szCs w:val="22"/>
              </w:rPr>
            </w:pPr>
          </w:p>
        </w:tc>
      </w:tr>
      <w:tr w:rsidR="00631B07" w:rsidRPr="00663610" w:rsidTr="00A06C04">
        <w:trPr>
          <w:gridAfter w:val="1"/>
          <w:wAfter w:w="89" w:type="dxa"/>
        </w:trPr>
        <w:tc>
          <w:tcPr>
            <w:tcW w:w="2679" w:type="dxa"/>
            <w:gridSpan w:val="2"/>
          </w:tcPr>
          <w:p w:rsidR="00631B07" w:rsidRPr="00663610" w:rsidRDefault="00631B07" w:rsidP="00C40FC7">
            <w:pPr>
              <w:rPr>
                <w:szCs w:val="22"/>
                <w:lang w:eastAsia="zh-CN"/>
              </w:rPr>
            </w:pPr>
            <w:r w:rsidRPr="00663610">
              <w:rPr>
                <w:rFonts w:hint="eastAsia"/>
                <w:szCs w:val="22"/>
                <w:lang w:eastAsia="zh-CN"/>
              </w:rPr>
              <w:t>Sales (Gross)</w:t>
            </w:r>
          </w:p>
        </w:tc>
        <w:tc>
          <w:tcPr>
            <w:tcW w:w="1371" w:type="dxa"/>
          </w:tcPr>
          <w:p w:rsidR="00631B07" w:rsidRPr="00663610" w:rsidRDefault="00150EBC" w:rsidP="007F7D22">
            <w:pPr>
              <w:tabs>
                <w:tab w:val="clear" w:pos="720"/>
                <w:tab w:val="clear" w:pos="1440"/>
                <w:tab w:val="decimal" w:pos="1083"/>
              </w:tabs>
              <w:jc w:val="both"/>
              <w:rPr>
                <w:szCs w:val="22"/>
                <w:lang w:eastAsia="zh-CN"/>
              </w:rPr>
            </w:pPr>
            <w:r>
              <w:rPr>
                <w:szCs w:val="22"/>
                <w:lang w:eastAsia="zh-CN"/>
              </w:rPr>
              <w:t>529</w:t>
            </w:r>
          </w:p>
        </w:tc>
        <w:tc>
          <w:tcPr>
            <w:tcW w:w="1800" w:type="dxa"/>
          </w:tcPr>
          <w:p w:rsidR="00631B07" w:rsidRPr="00663610" w:rsidRDefault="00150EBC" w:rsidP="00700ABC">
            <w:pPr>
              <w:tabs>
                <w:tab w:val="clear" w:pos="720"/>
                <w:tab w:val="clear" w:pos="1440"/>
                <w:tab w:val="decimal" w:pos="1584"/>
              </w:tabs>
              <w:ind w:firstLine="764"/>
              <w:jc w:val="right"/>
              <w:rPr>
                <w:szCs w:val="22"/>
                <w:lang w:eastAsia="zh-CN"/>
              </w:rPr>
            </w:pPr>
            <w:r>
              <w:rPr>
                <w:szCs w:val="22"/>
                <w:lang w:eastAsia="zh-CN"/>
              </w:rPr>
              <w:t>26,022</w:t>
            </w:r>
          </w:p>
        </w:tc>
        <w:tc>
          <w:tcPr>
            <w:tcW w:w="1710" w:type="dxa"/>
          </w:tcPr>
          <w:p w:rsidR="00631B07" w:rsidRPr="00663610" w:rsidRDefault="00150EBC" w:rsidP="00700ABC">
            <w:pPr>
              <w:tabs>
                <w:tab w:val="clear" w:pos="720"/>
                <w:tab w:val="clear" w:pos="1440"/>
              </w:tabs>
              <w:ind w:right="72"/>
              <w:jc w:val="right"/>
              <w:rPr>
                <w:szCs w:val="22"/>
                <w:lang w:eastAsia="zh-CN"/>
              </w:rPr>
            </w:pPr>
            <w:r>
              <w:rPr>
                <w:szCs w:val="22"/>
                <w:lang w:eastAsia="zh-CN"/>
              </w:rPr>
              <w:t>4,857</w:t>
            </w:r>
          </w:p>
        </w:tc>
        <w:tc>
          <w:tcPr>
            <w:tcW w:w="1248" w:type="dxa"/>
          </w:tcPr>
          <w:p w:rsidR="00631B07" w:rsidRPr="00663610" w:rsidRDefault="00150EBC" w:rsidP="007F7D22">
            <w:pPr>
              <w:tabs>
                <w:tab w:val="clear" w:pos="720"/>
                <w:tab w:val="clear" w:pos="1440"/>
                <w:tab w:val="decimal" w:pos="972"/>
              </w:tabs>
              <w:jc w:val="both"/>
              <w:rPr>
                <w:szCs w:val="22"/>
                <w:lang w:eastAsia="zh-CN"/>
              </w:rPr>
            </w:pPr>
            <w:r>
              <w:rPr>
                <w:szCs w:val="22"/>
                <w:lang w:eastAsia="zh-CN"/>
              </w:rPr>
              <w:t>31,408</w:t>
            </w:r>
          </w:p>
        </w:tc>
      </w:tr>
      <w:tr w:rsidR="00631B07" w:rsidRPr="00663610" w:rsidTr="00A06C04">
        <w:trPr>
          <w:gridAfter w:val="1"/>
          <w:wAfter w:w="89" w:type="dxa"/>
        </w:trPr>
        <w:tc>
          <w:tcPr>
            <w:tcW w:w="2679" w:type="dxa"/>
            <w:gridSpan w:val="2"/>
          </w:tcPr>
          <w:p w:rsidR="00631B07" w:rsidRPr="00663610" w:rsidRDefault="00631B07" w:rsidP="00C40FC7">
            <w:pPr>
              <w:rPr>
                <w:szCs w:val="22"/>
              </w:rPr>
            </w:pPr>
            <w:r w:rsidRPr="00663610">
              <w:rPr>
                <w:szCs w:val="22"/>
              </w:rPr>
              <w:t>Inter-segment sales</w:t>
            </w:r>
          </w:p>
        </w:tc>
        <w:tc>
          <w:tcPr>
            <w:tcW w:w="1371" w:type="dxa"/>
            <w:tcBorders>
              <w:bottom w:val="single" w:sz="4" w:space="0" w:color="auto"/>
            </w:tcBorders>
          </w:tcPr>
          <w:p w:rsidR="00631B07" w:rsidRPr="00663610" w:rsidRDefault="008836BA" w:rsidP="007F7D22">
            <w:pPr>
              <w:tabs>
                <w:tab w:val="clear" w:pos="720"/>
                <w:tab w:val="clear" w:pos="1440"/>
                <w:tab w:val="decimal" w:pos="1083"/>
              </w:tabs>
              <w:jc w:val="both"/>
              <w:rPr>
                <w:szCs w:val="22"/>
                <w:lang w:eastAsia="zh-CN"/>
              </w:rPr>
            </w:pPr>
            <w:r>
              <w:rPr>
                <w:szCs w:val="22"/>
                <w:lang w:eastAsia="zh-CN"/>
              </w:rPr>
              <w:t xml:space="preserve">    (</w:t>
            </w:r>
            <w:r w:rsidR="00150EBC">
              <w:rPr>
                <w:szCs w:val="22"/>
                <w:lang w:eastAsia="zh-CN"/>
              </w:rPr>
              <w:t>522</w:t>
            </w:r>
            <w:r>
              <w:rPr>
                <w:szCs w:val="22"/>
                <w:lang w:eastAsia="zh-CN"/>
              </w:rPr>
              <w:t>)</w:t>
            </w:r>
          </w:p>
        </w:tc>
        <w:tc>
          <w:tcPr>
            <w:tcW w:w="1800" w:type="dxa"/>
            <w:tcBorders>
              <w:bottom w:val="single" w:sz="4" w:space="0" w:color="auto"/>
            </w:tcBorders>
          </w:tcPr>
          <w:p w:rsidR="00631B07" w:rsidRPr="00663610" w:rsidRDefault="008836BA" w:rsidP="00150EBC">
            <w:pPr>
              <w:tabs>
                <w:tab w:val="clear" w:pos="720"/>
                <w:tab w:val="clear" w:pos="1440"/>
                <w:tab w:val="decimal" w:pos="1584"/>
              </w:tabs>
              <w:ind w:firstLine="764"/>
              <w:jc w:val="right"/>
              <w:rPr>
                <w:szCs w:val="22"/>
                <w:lang w:eastAsia="zh-CN"/>
              </w:rPr>
            </w:pPr>
            <w:r>
              <w:rPr>
                <w:szCs w:val="22"/>
                <w:lang w:eastAsia="zh-CN"/>
              </w:rPr>
              <w:t>(</w:t>
            </w:r>
            <w:r w:rsidR="00150EBC">
              <w:rPr>
                <w:szCs w:val="22"/>
                <w:lang w:eastAsia="zh-CN"/>
              </w:rPr>
              <w:t>2,261</w:t>
            </w:r>
            <w:r>
              <w:rPr>
                <w:szCs w:val="22"/>
                <w:lang w:eastAsia="zh-CN"/>
              </w:rPr>
              <w:t>)</w:t>
            </w:r>
          </w:p>
        </w:tc>
        <w:tc>
          <w:tcPr>
            <w:tcW w:w="1710" w:type="dxa"/>
            <w:tcBorders>
              <w:bottom w:val="single" w:sz="4" w:space="0" w:color="auto"/>
            </w:tcBorders>
          </w:tcPr>
          <w:p w:rsidR="00631B07" w:rsidRPr="00663610" w:rsidRDefault="00631B07" w:rsidP="00130836">
            <w:pPr>
              <w:tabs>
                <w:tab w:val="clear" w:pos="720"/>
                <w:tab w:val="clear" w:pos="1440"/>
              </w:tabs>
              <w:ind w:right="72"/>
              <w:jc w:val="right"/>
              <w:rPr>
                <w:szCs w:val="22"/>
                <w:lang w:eastAsia="zh-CN"/>
              </w:rPr>
            </w:pPr>
            <w:r w:rsidRPr="00663610">
              <w:rPr>
                <w:rFonts w:hint="eastAsia"/>
                <w:szCs w:val="22"/>
                <w:lang w:eastAsia="zh-CN"/>
              </w:rPr>
              <w:t>-</w:t>
            </w:r>
          </w:p>
        </w:tc>
        <w:tc>
          <w:tcPr>
            <w:tcW w:w="1248" w:type="dxa"/>
            <w:tcBorders>
              <w:bottom w:val="single" w:sz="4" w:space="0" w:color="auto"/>
            </w:tcBorders>
          </w:tcPr>
          <w:p w:rsidR="00631B07" w:rsidRPr="00663610" w:rsidRDefault="00631B07" w:rsidP="007F7D22">
            <w:pPr>
              <w:tabs>
                <w:tab w:val="clear" w:pos="720"/>
                <w:tab w:val="clear" w:pos="1440"/>
                <w:tab w:val="decimal" w:pos="972"/>
              </w:tabs>
              <w:jc w:val="both"/>
              <w:rPr>
                <w:szCs w:val="22"/>
                <w:lang w:eastAsia="zh-CN"/>
              </w:rPr>
            </w:pPr>
            <w:r w:rsidRPr="00663610">
              <w:rPr>
                <w:rFonts w:hint="eastAsia"/>
                <w:szCs w:val="22"/>
                <w:lang w:eastAsia="zh-CN"/>
              </w:rPr>
              <w:t>(</w:t>
            </w:r>
            <w:r w:rsidR="008836BA">
              <w:rPr>
                <w:szCs w:val="22"/>
                <w:lang w:eastAsia="zh-CN"/>
              </w:rPr>
              <w:t>2,7</w:t>
            </w:r>
            <w:r w:rsidR="00150EBC">
              <w:rPr>
                <w:szCs w:val="22"/>
                <w:lang w:eastAsia="zh-CN"/>
              </w:rPr>
              <w:t>83</w:t>
            </w:r>
            <w:r w:rsidRPr="00663610">
              <w:rPr>
                <w:rFonts w:hint="eastAsia"/>
                <w:szCs w:val="22"/>
                <w:lang w:eastAsia="zh-CN"/>
              </w:rPr>
              <w:t>)</w:t>
            </w:r>
          </w:p>
        </w:tc>
      </w:tr>
      <w:tr w:rsidR="00631B07" w:rsidRPr="00663610" w:rsidTr="00A06C04">
        <w:trPr>
          <w:gridAfter w:val="1"/>
          <w:wAfter w:w="89" w:type="dxa"/>
        </w:trPr>
        <w:tc>
          <w:tcPr>
            <w:tcW w:w="2679" w:type="dxa"/>
            <w:gridSpan w:val="2"/>
          </w:tcPr>
          <w:p w:rsidR="00631B07" w:rsidRPr="00663610" w:rsidRDefault="00631B07" w:rsidP="00C40FC7">
            <w:pPr>
              <w:rPr>
                <w:szCs w:val="22"/>
                <w:lang w:eastAsia="zh-CN"/>
              </w:rPr>
            </w:pPr>
            <w:r w:rsidRPr="00663610">
              <w:rPr>
                <w:szCs w:val="22"/>
              </w:rPr>
              <w:t>Externa</w:t>
            </w:r>
            <w:r w:rsidRPr="00663610">
              <w:rPr>
                <w:rFonts w:hint="eastAsia"/>
                <w:szCs w:val="22"/>
                <w:lang w:eastAsia="zh-CN"/>
              </w:rPr>
              <w:t>l</w:t>
            </w:r>
          </w:p>
        </w:tc>
        <w:tc>
          <w:tcPr>
            <w:tcW w:w="1371" w:type="dxa"/>
            <w:tcBorders>
              <w:top w:val="single" w:sz="4" w:space="0" w:color="auto"/>
            </w:tcBorders>
          </w:tcPr>
          <w:p w:rsidR="00631B07" w:rsidRPr="00663610" w:rsidRDefault="00150EBC" w:rsidP="007F7D22">
            <w:pPr>
              <w:tabs>
                <w:tab w:val="clear" w:pos="720"/>
                <w:tab w:val="clear" w:pos="1440"/>
                <w:tab w:val="decimal" w:pos="1083"/>
              </w:tabs>
              <w:jc w:val="both"/>
              <w:rPr>
                <w:szCs w:val="22"/>
                <w:lang w:eastAsia="zh-CN"/>
              </w:rPr>
            </w:pPr>
            <w:r>
              <w:rPr>
                <w:szCs w:val="22"/>
                <w:lang w:eastAsia="zh-CN"/>
              </w:rPr>
              <w:t>7</w:t>
            </w:r>
          </w:p>
        </w:tc>
        <w:tc>
          <w:tcPr>
            <w:tcW w:w="1800" w:type="dxa"/>
            <w:tcBorders>
              <w:top w:val="single" w:sz="4" w:space="0" w:color="auto"/>
            </w:tcBorders>
          </w:tcPr>
          <w:p w:rsidR="00631B07" w:rsidRPr="00663610" w:rsidRDefault="00150EBC" w:rsidP="00700ABC">
            <w:pPr>
              <w:tabs>
                <w:tab w:val="clear" w:pos="720"/>
                <w:tab w:val="clear" w:pos="1440"/>
                <w:tab w:val="decimal" w:pos="1584"/>
              </w:tabs>
              <w:ind w:firstLine="764"/>
              <w:jc w:val="right"/>
              <w:rPr>
                <w:szCs w:val="22"/>
                <w:lang w:eastAsia="zh-CN"/>
              </w:rPr>
            </w:pPr>
            <w:r>
              <w:rPr>
                <w:szCs w:val="22"/>
                <w:lang w:eastAsia="zh-CN"/>
              </w:rPr>
              <w:t>23,761</w:t>
            </w:r>
          </w:p>
        </w:tc>
        <w:tc>
          <w:tcPr>
            <w:tcW w:w="1710" w:type="dxa"/>
            <w:tcBorders>
              <w:top w:val="single" w:sz="4" w:space="0" w:color="auto"/>
            </w:tcBorders>
          </w:tcPr>
          <w:p w:rsidR="00631B07" w:rsidRPr="00663610" w:rsidRDefault="00150EBC" w:rsidP="00130836">
            <w:pPr>
              <w:tabs>
                <w:tab w:val="clear" w:pos="720"/>
                <w:tab w:val="clear" w:pos="1440"/>
              </w:tabs>
              <w:ind w:right="72"/>
              <w:jc w:val="right"/>
              <w:rPr>
                <w:szCs w:val="22"/>
                <w:lang w:eastAsia="zh-CN"/>
              </w:rPr>
            </w:pPr>
            <w:r>
              <w:rPr>
                <w:szCs w:val="22"/>
                <w:lang w:eastAsia="zh-CN"/>
              </w:rPr>
              <w:t>4,857</w:t>
            </w:r>
          </w:p>
        </w:tc>
        <w:tc>
          <w:tcPr>
            <w:tcW w:w="1248" w:type="dxa"/>
            <w:tcBorders>
              <w:top w:val="single" w:sz="4" w:space="0" w:color="auto"/>
            </w:tcBorders>
          </w:tcPr>
          <w:p w:rsidR="00631B07" w:rsidRPr="00663610" w:rsidRDefault="00150EBC" w:rsidP="007F7D22">
            <w:pPr>
              <w:tabs>
                <w:tab w:val="clear" w:pos="720"/>
                <w:tab w:val="clear" w:pos="1440"/>
                <w:tab w:val="decimal" w:pos="972"/>
              </w:tabs>
              <w:jc w:val="both"/>
              <w:rPr>
                <w:szCs w:val="22"/>
                <w:lang w:eastAsia="zh-CN"/>
              </w:rPr>
            </w:pPr>
            <w:r>
              <w:rPr>
                <w:szCs w:val="22"/>
                <w:lang w:eastAsia="zh-CN"/>
              </w:rPr>
              <w:t>28,625</w:t>
            </w:r>
          </w:p>
        </w:tc>
      </w:tr>
      <w:tr w:rsidR="00631B07" w:rsidRPr="00663610" w:rsidTr="00A06C04">
        <w:trPr>
          <w:gridAfter w:val="1"/>
          <w:wAfter w:w="89" w:type="dxa"/>
        </w:trPr>
        <w:tc>
          <w:tcPr>
            <w:tcW w:w="2679" w:type="dxa"/>
            <w:gridSpan w:val="2"/>
          </w:tcPr>
          <w:p w:rsidR="00631B07" w:rsidRPr="00663610" w:rsidRDefault="00631B07" w:rsidP="003A51C3">
            <w:pPr>
              <w:jc w:val="both"/>
              <w:rPr>
                <w:b/>
                <w:sz w:val="18"/>
                <w:szCs w:val="18"/>
              </w:rPr>
            </w:pPr>
          </w:p>
        </w:tc>
        <w:tc>
          <w:tcPr>
            <w:tcW w:w="1371" w:type="dxa"/>
            <w:tcBorders>
              <w:top w:val="double" w:sz="4" w:space="0" w:color="auto"/>
            </w:tcBorders>
          </w:tcPr>
          <w:p w:rsidR="00631B07" w:rsidRPr="00663610" w:rsidRDefault="00631B07" w:rsidP="007F7D22">
            <w:pPr>
              <w:tabs>
                <w:tab w:val="decimal" w:pos="1083"/>
              </w:tabs>
              <w:jc w:val="both"/>
              <w:rPr>
                <w:sz w:val="18"/>
                <w:szCs w:val="18"/>
              </w:rPr>
            </w:pPr>
          </w:p>
        </w:tc>
        <w:tc>
          <w:tcPr>
            <w:tcW w:w="1800" w:type="dxa"/>
            <w:tcBorders>
              <w:top w:val="double" w:sz="4" w:space="0" w:color="auto"/>
            </w:tcBorders>
          </w:tcPr>
          <w:p w:rsidR="00631B07" w:rsidRPr="00663610" w:rsidRDefault="00631B07" w:rsidP="00700ABC">
            <w:pPr>
              <w:tabs>
                <w:tab w:val="decimal" w:pos="1584"/>
              </w:tabs>
              <w:ind w:firstLine="764"/>
              <w:jc w:val="right"/>
              <w:rPr>
                <w:sz w:val="18"/>
                <w:szCs w:val="18"/>
              </w:rPr>
            </w:pPr>
          </w:p>
        </w:tc>
        <w:tc>
          <w:tcPr>
            <w:tcW w:w="1710" w:type="dxa"/>
            <w:tcBorders>
              <w:top w:val="double" w:sz="4" w:space="0" w:color="auto"/>
            </w:tcBorders>
          </w:tcPr>
          <w:p w:rsidR="00631B07" w:rsidRPr="00663610" w:rsidRDefault="00631B07" w:rsidP="00130836">
            <w:pPr>
              <w:tabs>
                <w:tab w:val="clear" w:pos="720"/>
                <w:tab w:val="clear" w:pos="1440"/>
              </w:tabs>
              <w:ind w:right="72"/>
              <w:jc w:val="right"/>
              <w:rPr>
                <w:sz w:val="18"/>
                <w:szCs w:val="18"/>
              </w:rPr>
            </w:pPr>
          </w:p>
        </w:tc>
        <w:tc>
          <w:tcPr>
            <w:tcW w:w="1248" w:type="dxa"/>
            <w:tcBorders>
              <w:top w:val="double" w:sz="4" w:space="0" w:color="auto"/>
            </w:tcBorders>
          </w:tcPr>
          <w:p w:rsidR="00631B07" w:rsidRPr="00663610" w:rsidRDefault="00631B07" w:rsidP="007F7D22">
            <w:pPr>
              <w:tabs>
                <w:tab w:val="clear" w:pos="720"/>
                <w:tab w:val="clear" w:pos="1440"/>
                <w:tab w:val="decimal" w:pos="972"/>
              </w:tabs>
              <w:jc w:val="both"/>
              <w:rPr>
                <w:sz w:val="18"/>
                <w:szCs w:val="18"/>
              </w:rPr>
            </w:pPr>
          </w:p>
        </w:tc>
      </w:tr>
      <w:tr w:rsidR="00631B07" w:rsidRPr="00663610" w:rsidTr="00A06C04">
        <w:trPr>
          <w:gridAfter w:val="1"/>
          <w:wAfter w:w="89" w:type="dxa"/>
        </w:trPr>
        <w:tc>
          <w:tcPr>
            <w:tcW w:w="2679" w:type="dxa"/>
            <w:gridSpan w:val="2"/>
          </w:tcPr>
          <w:p w:rsidR="00631B07" w:rsidRPr="00663610" w:rsidRDefault="00631B07" w:rsidP="003A51C3">
            <w:pPr>
              <w:jc w:val="both"/>
              <w:rPr>
                <w:b/>
                <w:szCs w:val="22"/>
              </w:rPr>
            </w:pPr>
            <w:r w:rsidRPr="00663610">
              <w:rPr>
                <w:b/>
                <w:szCs w:val="22"/>
              </w:rPr>
              <w:t>RESULT</w:t>
            </w:r>
          </w:p>
        </w:tc>
        <w:tc>
          <w:tcPr>
            <w:tcW w:w="1371" w:type="dxa"/>
          </w:tcPr>
          <w:p w:rsidR="00631B07" w:rsidRPr="00663610" w:rsidRDefault="00631B07" w:rsidP="007F7D22">
            <w:pPr>
              <w:tabs>
                <w:tab w:val="decimal" w:pos="1083"/>
              </w:tabs>
              <w:jc w:val="both"/>
              <w:rPr>
                <w:szCs w:val="22"/>
              </w:rPr>
            </w:pPr>
          </w:p>
        </w:tc>
        <w:tc>
          <w:tcPr>
            <w:tcW w:w="1800" w:type="dxa"/>
          </w:tcPr>
          <w:p w:rsidR="00631B07" w:rsidRPr="00663610" w:rsidRDefault="00631B07" w:rsidP="00700ABC">
            <w:pPr>
              <w:tabs>
                <w:tab w:val="decimal" w:pos="1584"/>
              </w:tabs>
              <w:ind w:firstLine="764"/>
              <w:jc w:val="right"/>
              <w:rPr>
                <w:szCs w:val="22"/>
              </w:rPr>
            </w:pPr>
          </w:p>
        </w:tc>
        <w:tc>
          <w:tcPr>
            <w:tcW w:w="1710" w:type="dxa"/>
          </w:tcPr>
          <w:p w:rsidR="00631B07" w:rsidRPr="00663610" w:rsidRDefault="00631B07" w:rsidP="00130836">
            <w:pPr>
              <w:tabs>
                <w:tab w:val="clear" w:pos="720"/>
                <w:tab w:val="clear" w:pos="1440"/>
              </w:tabs>
              <w:ind w:right="72"/>
              <w:jc w:val="right"/>
              <w:rPr>
                <w:szCs w:val="22"/>
              </w:rPr>
            </w:pPr>
          </w:p>
        </w:tc>
        <w:tc>
          <w:tcPr>
            <w:tcW w:w="1248" w:type="dxa"/>
          </w:tcPr>
          <w:p w:rsidR="00631B07" w:rsidRPr="00663610" w:rsidRDefault="00631B07" w:rsidP="007F7D22">
            <w:pPr>
              <w:tabs>
                <w:tab w:val="clear" w:pos="720"/>
                <w:tab w:val="clear" w:pos="1440"/>
                <w:tab w:val="decimal" w:pos="972"/>
              </w:tabs>
              <w:jc w:val="both"/>
              <w:rPr>
                <w:szCs w:val="22"/>
              </w:rPr>
            </w:pPr>
          </w:p>
        </w:tc>
      </w:tr>
      <w:tr w:rsidR="00631B07" w:rsidRPr="00663610" w:rsidTr="00A06C04">
        <w:trPr>
          <w:gridAfter w:val="1"/>
          <w:wAfter w:w="89" w:type="dxa"/>
        </w:trPr>
        <w:tc>
          <w:tcPr>
            <w:tcW w:w="2679" w:type="dxa"/>
            <w:gridSpan w:val="2"/>
          </w:tcPr>
          <w:p w:rsidR="00631B07" w:rsidRPr="00663610" w:rsidRDefault="00631B07" w:rsidP="003A51C3">
            <w:pPr>
              <w:jc w:val="both"/>
              <w:rPr>
                <w:szCs w:val="22"/>
              </w:rPr>
            </w:pPr>
            <w:r w:rsidRPr="00663610">
              <w:rPr>
                <w:szCs w:val="22"/>
              </w:rPr>
              <w:t>Segment result</w:t>
            </w:r>
          </w:p>
        </w:tc>
        <w:tc>
          <w:tcPr>
            <w:tcW w:w="1371" w:type="dxa"/>
          </w:tcPr>
          <w:p w:rsidR="00631B07" w:rsidRPr="00663610" w:rsidRDefault="00631B07" w:rsidP="007F7D22">
            <w:pPr>
              <w:tabs>
                <w:tab w:val="clear" w:pos="720"/>
                <w:tab w:val="clear" w:pos="1440"/>
                <w:tab w:val="decimal" w:pos="1083"/>
              </w:tabs>
              <w:jc w:val="both"/>
              <w:rPr>
                <w:szCs w:val="22"/>
                <w:lang w:eastAsia="zh-CN"/>
              </w:rPr>
            </w:pPr>
            <w:r w:rsidRPr="00663610">
              <w:rPr>
                <w:szCs w:val="22"/>
                <w:lang w:eastAsia="zh-CN"/>
              </w:rPr>
              <w:t>(</w:t>
            </w:r>
            <w:r w:rsidR="008057E9">
              <w:rPr>
                <w:szCs w:val="22"/>
                <w:lang w:eastAsia="zh-CN"/>
              </w:rPr>
              <w:t>5</w:t>
            </w:r>
            <w:r w:rsidR="008722A9">
              <w:rPr>
                <w:szCs w:val="22"/>
                <w:lang w:eastAsia="zh-CN"/>
              </w:rPr>
              <w:t>13</w:t>
            </w:r>
            <w:r w:rsidRPr="00663610">
              <w:rPr>
                <w:szCs w:val="22"/>
                <w:lang w:eastAsia="zh-CN"/>
              </w:rPr>
              <w:t>)</w:t>
            </w:r>
          </w:p>
        </w:tc>
        <w:tc>
          <w:tcPr>
            <w:tcW w:w="1800" w:type="dxa"/>
          </w:tcPr>
          <w:p w:rsidR="00631B07" w:rsidRPr="00663610" w:rsidRDefault="008722A9" w:rsidP="007F7D22">
            <w:pPr>
              <w:tabs>
                <w:tab w:val="clear" w:pos="720"/>
                <w:tab w:val="clear" w:pos="1440"/>
                <w:tab w:val="decimal" w:pos="1584"/>
              </w:tabs>
              <w:ind w:firstLine="764"/>
              <w:jc w:val="right"/>
              <w:rPr>
                <w:szCs w:val="22"/>
                <w:lang w:eastAsia="zh-CN"/>
              </w:rPr>
            </w:pPr>
            <w:r>
              <w:rPr>
                <w:szCs w:val="22"/>
                <w:lang w:eastAsia="zh-CN"/>
              </w:rPr>
              <w:t>2,321</w:t>
            </w:r>
          </w:p>
        </w:tc>
        <w:tc>
          <w:tcPr>
            <w:tcW w:w="1710" w:type="dxa"/>
          </w:tcPr>
          <w:p w:rsidR="00631B07" w:rsidRPr="00663610" w:rsidRDefault="008722A9" w:rsidP="001053D8">
            <w:pPr>
              <w:tabs>
                <w:tab w:val="clear" w:pos="720"/>
                <w:tab w:val="clear" w:pos="1440"/>
              </w:tabs>
              <w:ind w:right="72"/>
              <w:jc w:val="right"/>
              <w:rPr>
                <w:szCs w:val="22"/>
                <w:lang w:eastAsia="zh-CN"/>
              </w:rPr>
            </w:pPr>
            <w:r>
              <w:rPr>
                <w:szCs w:val="22"/>
                <w:lang w:eastAsia="zh-CN"/>
              </w:rPr>
              <w:t>209</w:t>
            </w:r>
          </w:p>
        </w:tc>
        <w:tc>
          <w:tcPr>
            <w:tcW w:w="1248" w:type="dxa"/>
          </w:tcPr>
          <w:p w:rsidR="00631B07" w:rsidRPr="00663610" w:rsidRDefault="008722A9" w:rsidP="007F7D22">
            <w:pPr>
              <w:tabs>
                <w:tab w:val="clear" w:pos="720"/>
                <w:tab w:val="clear" w:pos="1440"/>
                <w:tab w:val="decimal" w:pos="972"/>
              </w:tabs>
              <w:jc w:val="both"/>
              <w:rPr>
                <w:szCs w:val="22"/>
                <w:lang w:eastAsia="zh-CN"/>
              </w:rPr>
            </w:pPr>
            <w:r>
              <w:rPr>
                <w:szCs w:val="22"/>
                <w:lang w:eastAsia="zh-CN"/>
              </w:rPr>
              <w:t>2,017</w:t>
            </w:r>
          </w:p>
        </w:tc>
      </w:tr>
      <w:tr w:rsidR="00631B07" w:rsidRPr="00663610" w:rsidTr="00A06C04">
        <w:trPr>
          <w:gridAfter w:val="1"/>
          <w:wAfter w:w="89" w:type="dxa"/>
        </w:trPr>
        <w:tc>
          <w:tcPr>
            <w:tcW w:w="2679" w:type="dxa"/>
            <w:gridSpan w:val="2"/>
          </w:tcPr>
          <w:p w:rsidR="00631B07" w:rsidRPr="00663610" w:rsidRDefault="00631B07" w:rsidP="003A51C3">
            <w:pPr>
              <w:jc w:val="both"/>
              <w:rPr>
                <w:szCs w:val="22"/>
              </w:rPr>
            </w:pPr>
            <w:r w:rsidRPr="00663610">
              <w:rPr>
                <w:szCs w:val="22"/>
              </w:rPr>
              <w:t xml:space="preserve">Finance costs </w:t>
            </w:r>
          </w:p>
        </w:tc>
        <w:tc>
          <w:tcPr>
            <w:tcW w:w="1371" w:type="dxa"/>
          </w:tcPr>
          <w:p w:rsidR="00631B07" w:rsidRPr="00663610" w:rsidRDefault="00631B07" w:rsidP="007F7D22">
            <w:pPr>
              <w:tabs>
                <w:tab w:val="clear" w:pos="720"/>
                <w:tab w:val="clear" w:pos="1440"/>
                <w:tab w:val="decimal" w:pos="1083"/>
              </w:tabs>
              <w:jc w:val="both"/>
              <w:rPr>
                <w:szCs w:val="22"/>
              </w:rPr>
            </w:pPr>
            <w:r w:rsidRPr="00663610">
              <w:rPr>
                <w:rFonts w:hint="eastAsia"/>
                <w:szCs w:val="22"/>
                <w:lang w:eastAsia="zh-CN"/>
              </w:rPr>
              <w:t>-</w:t>
            </w:r>
          </w:p>
        </w:tc>
        <w:tc>
          <w:tcPr>
            <w:tcW w:w="1800" w:type="dxa"/>
          </w:tcPr>
          <w:p w:rsidR="00631B07" w:rsidRPr="00663610" w:rsidRDefault="00631B07" w:rsidP="007F7D22">
            <w:pPr>
              <w:tabs>
                <w:tab w:val="clear" w:pos="720"/>
                <w:tab w:val="clear" w:pos="1440"/>
                <w:tab w:val="decimal" w:pos="1584"/>
              </w:tabs>
              <w:ind w:firstLine="764"/>
              <w:jc w:val="right"/>
              <w:rPr>
                <w:szCs w:val="22"/>
              </w:rPr>
            </w:pPr>
            <w:r w:rsidRPr="00663610">
              <w:rPr>
                <w:szCs w:val="22"/>
              </w:rPr>
              <w:t>(</w:t>
            </w:r>
            <w:r w:rsidR="008722A9">
              <w:rPr>
                <w:szCs w:val="22"/>
              </w:rPr>
              <w:t>44</w:t>
            </w:r>
            <w:r w:rsidRPr="00663610">
              <w:rPr>
                <w:szCs w:val="22"/>
              </w:rPr>
              <w:t>)</w:t>
            </w:r>
          </w:p>
        </w:tc>
        <w:tc>
          <w:tcPr>
            <w:tcW w:w="1710" w:type="dxa"/>
          </w:tcPr>
          <w:p w:rsidR="00631B07" w:rsidRPr="00663610" w:rsidRDefault="00631B07" w:rsidP="008722A9">
            <w:pPr>
              <w:jc w:val="right"/>
              <w:rPr>
                <w:szCs w:val="22"/>
              </w:rPr>
            </w:pPr>
            <w:r w:rsidRPr="00663610">
              <w:rPr>
                <w:szCs w:val="22"/>
              </w:rPr>
              <w:t>(</w:t>
            </w:r>
            <w:r w:rsidR="00E20821" w:rsidRPr="00663610">
              <w:rPr>
                <w:rFonts w:hint="eastAsia"/>
                <w:szCs w:val="22"/>
                <w:lang w:eastAsia="zh-CN"/>
              </w:rPr>
              <w:t>1</w:t>
            </w:r>
            <w:r w:rsidR="008722A9">
              <w:rPr>
                <w:szCs w:val="22"/>
                <w:lang w:eastAsia="zh-CN"/>
              </w:rPr>
              <w:t>2</w:t>
            </w:r>
            <w:r w:rsidRPr="00663610">
              <w:rPr>
                <w:szCs w:val="22"/>
              </w:rPr>
              <w:t>)</w:t>
            </w:r>
          </w:p>
        </w:tc>
        <w:tc>
          <w:tcPr>
            <w:tcW w:w="1248" w:type="dxa"/>
            <w:shd w:val="clear" w:color="auto" w:fill="auto"/>
          </w:tcPr>
          <w:p w:rsidR="00631B07" w:rsidRPr="00663610" w:rsidRDefault="008836BA" w:rsidP="007F7D22">
            <w:pPr>
              <w:tabs>
                <w:tab w:val="clear" w:pos="720"/>
                <w:tab w:val="clear" w:pos="1440"/>
                <w:tab w:val="decimal" w:pos="972"/>
              </w:tabs>
              <w:jc w:val="both"/>
              <w:rPr>
                <w:szCs w:val="22"/>
              </w:rPr>
            </w:pPr>
            <w:r>
              <w:rPr>
                <w:szCs w:val="22"/>
              </w:rPr>
              <w:t xml:space="preserve"> </w:t>
            </w:r>
            <w:r w:rsidR="00631B07" w:rsidRPr="00663610">
              <w:rPr>
                <w:szCs w:val="22"/>
              </w:rPr>
              <w:t>(</w:t>
            </w:r>
            <w:r>
              <w:rPr>
                <w:szCs w:val="22"/>
              </w:rPr>
              <w:t>56</w:t>
            </w:r>
            <w:r w:rsidR="00631B07" w:rsidRPr="00663610">
              <w:rPr>
                <w:szCs w:val="22"/>
              </w:rPr>
              <w:t>)</w:t>
            </w:r>
          </w:p>
        </w:tc>
      </w:tr>
      <w:tr w:rsidR="00631B07" w:rsidRPr="00663610" w:rsidTr="00A06C04">
        <w:trPr>
          <w:gridAfter w:val="1"/>
          <w:wAfter w:w="89" w:type="dxa"/>
        </w:trPr>
        <w:tc>
          <w:tcPr>
            <w:tcW w:w="2679" w:type="dxa"/>
            <w:gridSpan w:val="2"/>
          </w:tcPr>
          <w:p w:rsidR="00631B07" w:rsidRPr="00663610" w:rsidRDefault="00631B07" w:rsidP="003A51C3">
            <w:pPr>
              <w:jc w:val="both"/>
              <w:rPr>
                <w:szCs w:val="22"/>
              </w:rPr>
            </w:pPr>
            <w:r w:rsidRPr="00663610">
              <w:rPr>
                <w:szCs w:val="22"/>
              </w:rPr>
              <w:t>Share of profit in a jointly controlled entity</w:t>
            </w:r>
          </w:p>
        </w:tc>
        <w:tc>
          <w:tcPr>
            <w:tcW w:w="1371" w:type="dxa"/>
          </w:tcPr>
          <w:p w:rsidR="008722A9" w:rsidRDefault="008722A9" w:rsidP="007F7D22">
            <w:pPr>
              <w:tabs>
                <w:tab w:val="clear" w:pos="720"/>
                <w:tab w:val="clear" w:pos="1440"/>
                <w:tab w:val="center" w:pos="486"/>
                <w:tab w:val="decimal" w:pos="1083"/>
              </w:tabs>
              <w:jc w:val="both"/>
              <w:rPr>
                <w:szCs w:val="22"/>
                <w:lang w:eastAsia="zh-CN"/>
              </w:rPr>
            </w:pPr>
          </w:p>
          <w:p w:rsidR="00631B07" w:rsidRPr="00663610" w:rsidRDefault="008722A9" w:rsidP="007F7D22">
            <w:pPr>
              <w:tabs>
                <w:tab w:val="clear" w:pos="720"/>
                <w:tab w:val="clear" w:pos="1440"/>
                <w:tab w:val="decimal" w:pos="1083"/>
              </w:tabs>
              <w:jc w:val="both"/>
              <w:rPr>
                <w:szCs w:val="22"/>
                <w:lang w:eastAsia="zh-CN"/>
              </w:rPr>
            </w:pPr>
            <w:r>
              <w:rPr>
                <w:szCs w:val="22"/>
                <w:lang w:eastAsia="zh-CN"/>
              </w:rPr>
              <w:t>51</w:t>
            </w:r>
          </w:p>
        </w:tc>
        <w:tc>
          <w:tcPr>
            <w:tcW w:w="1800" w:type="dxa"/>
          </w:tcPr>
          <w:p w:rsidR="008722A9" w:rsidRDefault="008722A9" w:rsidP="00700ABC">
            <w:pPr>
              <w:tabs>
                <w:tab w:val="decimal" w:pos="1512"/>
                <w:tab w:val="decimal" w:pos="1584"/>
              </w:tabs>
              <w:ind w:firstLine="764"/>
              <w:jc w:val="right"/>
              <w:rPr>
                <w:szCs w:val="22"/>
              </w:rPr>
            </w:pPr>
          </w:p>
          <w:p w:rsidR="00631B07" w:rsidRPr="00663610" w:rsidRDefault="00631B07" w:rsidP="007F7D22">
            <w:pPr>
              <w:tabs>
                <w:tab w:val="clear" w:pos="720"/>
                <w:tab w:val="clear" w:pos="1440"/>
                <w:tab w:val="decimal" w:pos="1584"/>
              </w:tabs>
              <w:ind w:firstLine="764"/>
              <w:jc w:val="right"/>
              <w:rPr>
                <w:szCs w:val="22"/>
              </w:rPr>
            </w:pPr>
            <w:r w:rsidRPr="00663610">
              <w:rPr>
                <w:szCs w:val="22"/>
              </w:rPr>
              <w:t>-</w:t>
            </w:r>
          </w:p>
        </w:tc>
        <w:tc>
          <w:tcPr>
            <w:tcW w:w="1710" w:type="dxa"/>
          </w:tcPr>
          <w:p w:rsidR="008722A9" w:rsidRDefault="008722A9" w:rsidP="00130836">
            <w:pPr>
              <w:jc w:val="right"/>
              <w:rPr>
                <w:szCs w:val="22"/>
              </w:rPr>
            </w:pPr>
          </w:p>
          <w:p w:rsidR="00631B07" w:rsidRPr="00663610" w:rsidRDefault="00631B07" w:rsidP="00130836">
            <w:pPr>
              <w:jc w:val="right"/>
              <w:rPr>
                <w:szCs w:val="22"/>
              </w:rPr>
            </w:pPr>
            <w:r w:rsidRPr="00663610">
              <w:rPr>
                <w:szCs w:val="22"/>
              </w:rPr>
              <w:t>-</w:t>
            </w:r>
          </w:p>
        </w:tc>
        <w:tc>
          <w:tcPr>
            <w:tcW w:w="1248" w:type="dxa"/>
            <w:shd w:val="clear" w:color="auto" w:fill="auto"/>
          </w:tcPr>
          <w:p w:rsidR="008722A9" w:rsidRDefault="008722A9" w:rsidP="007F7D22">
            <w:pPr>
              <w:tabs>
                <w:tab w:val="clear" w:pos="720"/>
                <w:tab w:val="clear" w:pos="1440"/>
                <w:tab w:val="decimal" w:pos="972"/>
              </w:tabs>
              <w:jc w:val="both"/>
              <w:rPr>
                <w:szCs w:val="22"/>
                <w:lang w:eastAsia="zh-CN"/>
              </w:rPr>
            </w:pPr>
          </w:p>
          <w:p w:rsidR="00631B07" w:rsidRPr="00663610" w:rsidRDefault="006476C2" w:rsidP="007F7D22">
            <w:pPr>
              <w:tabs>
                <w:tab w:val="clear" w:pos="720"/>
                <w:tab w:val="clear" w:pos="1440"/>
                <w:tab w:val="decimal" w:pos="972"/>
              </w:tabs>
              <w:jc w:val="both"/>
              <w:rPr>
                <w:szCs w:val="22"/>
                <w:lang w:eastAsia="zh-CN"/>
              </w:rPr>
            </w:pPr>
            <w:r>
              <w:rPr>
                <w:szCs w:val="22"/>
                <w:lang w:eastAsia="zh-CN"/>
              </w:rPr>
              <w:t>5</w:t>
            </w:r>
            <w:r w:rsidR="008057E9">
              <w:rPr>
                <w:szCs w:val="22"/>
                <w:lang w:eastAsia="zh-CN"/>
              </w:rPr>
              <w:t>1</w:t>
            </w:r>
          </w:p>
        </w:tc>
      </w:tr>
      <w:tr w:rsidR="00631B07" w:rsidRPr="00663610" w:rsidTr="00A06C04">
        <w:trPr>
          <w:gridAfter w:val="1"/>
          <w:wAfter w:w="89" w:type="dxa"/>
        </w:trPr>
        <w:tc>
          <w:tcPr>
            <w:tcW w:w="2679" w:type="dxa"/>
            <w:gridSpan w:val="2"/>
          </w:tcPr>
          <w:p w:rsidR="00631B07" w:rsidRPr="00663610" w:rsidRDefault="00631B07" w:rsidP="003A51C3">
            <w:pPr>
              <w:jc w:val="both"/>
              <w:rPr>
                <w:szCs w:val="22"/>
              </w:rPr>
            </w:pPr>
            <w:r w:rsidRPr="00663610">
              <w:rPr>
                <w:szCs w:val="22"/>
              </w:rPr>
              <w:t xml:space="preserve">(Loss)/Profit before tax </w:t>
            </w:r>
          </w:p>
        </w:tc>
        <w:tc>
          <w:tcPr>
            <w:tcW w:w="1371" w:type="dxa"/>
            <w:tcBorders>
              <w:top w:val="single" w:sz="4" w:space="0" w:color="auto"/>
            </w:tcBorders>
          </w:tcPr>
          <w:p w:rsidR="00631B07" w:rsidRPr="00663610" w:rsidRDefault="00631B07" w:rsidP="007F7D22">
            <w:pPr>
              <w:tabs>
                <w:tab w:val="clear" w:pos="720"/>
                <w:tab w:val="clear" w:pos="1440"/>
                <w:tab w:val="decimal" w:pos="1083"/>
              </w:tabs>
              <w:jc w:val="both"/>
              <w:rPr>
                <w:szCs w:val="22"/>
                <w:lang w:eastAsia="zh-CN"/>
              </w:rPr>
            </w:pPr>
            <w:r w:rsidRPr="00663610">
              <w:rPr>
                <w:szCs w:val="22"/>
                <w:lang w:eastAsia="zh-CN"/>
              </w:rPr>
              <w:t>(</w:t>
            </w:r>
            <w:r w:rsidR="006476C2">
              <w:rPr>
                <w:szCs w:val="22"/>
                <w:lang w:eastAsia="zh-CN"/>
              </w:rPr>
              <w:t>462</w:t>
            </w:r>
            <w:r w:rsidRPr="00663610">
              <w:rPr>
                <w:szCs w:val="22"/>
                <w:lang w:eastAsia="zh-CN"/>
              </w:rPr>
              <w:t>)</w:t>
            </w:r>
          </w:p>
        </w:tc>
        <w:tc>
          <w:tcPr>
            <w:tcW w:w="1800" w:type="dxa"/>
            <w:tcBorders>
              <w:top w:val="single" w:sz="4" w:space="0" w:color="auto"/>
            </w:tcBorders>
          </w:tcPr>
          <w:p w:rsidR="00631B07" w:rsidRPr="00663610" w:rsidRDefault="006476C2" w:rsidP="007F7D22">
            <w:pPr>
              <w:tabs>
                <w:tab w:val="clear" w:pos="720"/>
                <w:tab w:val="clear" w:pos="1440"/>
                <w:tab w:val="decimal" w:pos="1584"/>
              </w:tabs>
              <w:ind w:firstLine="764"/>
              <w:jc w:val="right"/>
              <w:rPr>
                <w:szCs w:val="22"/>
                <w:lang w:eastAsia="zh-CN"/>
              </w:rPr>
            </w:pPr>
            <w:r>
              <w:rPr>
                <w:szCs w:val="22"/>
                <w:lang w:eastAsia="zh-CN"/>
              </w:rPr>
              <w:t>2,277</w:t>
            </w:r>
          </w:p>
        </w:tc>
        <w:tc>
          <w:tcPr>
            <w:tcW w:w="1710" w:type="dxa"/>
            <w:tcBorders>
              <w:top w:val="single" w:sz="4" w:space="0" w:color="auto"/>
            </w:tcBorders>
          </w:tcPr>
          <w:p w:rsidR="00631B07" w:rsidRPr="00663610" w:rsidRDefault="006476C2" w:rsidP="00130836">
            <w:pPr>
              <w:tabs>
                <w:tab w:val="clear" w:pos="720"/>
                <w:tab w:val="clear" w:pos="1440"/>
              </w:tabs>
              <w:ind w:right="72"/>
              <w:jc w:val="right"/>
              <w:rPr>
                <w:szCs w:val="22"/>
                <w:lang w:eastAsia="zh-CN"/>
              </w:rPr>
            </w:pPr>
            <w:r>
              <w:rPr>
                <w:szCs w:val="22"/>
                <w:lang w:eastAsia="zh-CN"/>
              </w:rPr>
              <w:t>197</w:t>
            </w:r>
          </w:p>
        </w:tc>
        <w:tc>
          <w:tcPr>
            <w:tcW w:w="1248" w:type="dxa"/>
            <w:tcBorders>
              <w:top w:val="single" w:sz="4" w:space="0" w:color="auto"/>
            </w:tcBorders>
            <w:shd w:val="clear" w:color="auto" w:fill="auto"/>
          </w:tcPr>
          <w:p w:rsidR="00631B07" w:rsidRPr="00663610" w:rsidRDefault="006476C2" w:rsidP="007F7D22">
            <w:pPr>
              <w:tabs>
                <w:tab w:val="clear" w:pos="720"/>
                <w:tab w:val="clear" w:pos="1440"/>
                <w:tab w:val="decimal" w:pos="972"/>
              </w:tabs>
              <w:jc w:val="both"/>
              <w:rPr>
                <w:szCs w:val="22"/>
                <w:lang w:eastAsia="zh-CN"/>
              </w:rPr>
            </w:pPr>
            <w:r>
              <w:rPr>
                <w:szCs w:val="22"/>
                <w:lang w:eastAsia="zh-CN"/>
              </w:rPr>
              <w:t>2,012</w:t>
            </w:r>
          </w:p>
        </w:tc>
      </w:tr>
      <w:tr w:rsidR="00631B07" w:rsidRPr="00663610" w:rsidTr="00A06C04">
        <w:trPr>
          <w:gridAfter w:val="1"/>
          <w:wAfter w:w="89" w:type="dxa"/>
        </w:trPr>
        <w:tc>
          <w:tcPr>
            <w:tcW w:w="2679" w:type="dxa"/>
            <w:gridSpan w:val="2"/>
          </w:tcPr>
          <w:p w:rsidR="00631B07" w:rsidRPr="00663610" w:rsidRDefault="00631B07" w:rsidP="00695C78">
            <w:pPr>
              <w:jc w:val="both"/>
              <w:rPr>
                <w:szCs w:val="22"/>
              </w:rPr>
            </w:pPr>
            <w:r w:rsidRPr="00663610">
              <w:rPr>
                <w:szCs w:val="22"/>
              </w:rPr>
              <w:t>Tax expense</w:t>
            </w:r>
          </w:p>
        </w:tc>
        <w:tc>
          <w:tcPr>
            <w:tcW w:w="1371" w:type="dxa"/>
            <w:tcBorders>
              <w:bottom w:val="single" w:sz="4" w:space="0" w:color="auto"/>
            </w:tcBorders>
          </w:tcPr>
          <w:p w:rsidR="00631B07" w:rsidRPr="00663610" w:rsidRDefault="006476C2" w:rsidP="007F7D22">
            <w:pPr>
              <w:tabs>
                <w:tab w:val="clear" w:pos="720"/>
                <w:tab w:val="clear" w:pos="1440"/>
                <w:tab w:val="decimal" w:pos="1083"/>
              </w:tabs>
              <w:jc w:val="both"/>
              <w:rPr>
                <w:szCs w:val="22"/>
              </w:rPr>
            </w:pPr>
            <w:r w:rsidRPr="00663610">
              <w:rPr>
                <w:rFonts w:hint="eastAsia"/>
                <w:szCs w:val="22"/>
                <w:lang w:eastAsia="zh-CN"/>
              </w:rPr>
              <w:t>-</w:t>
            </w:r>
          </w:p>
        </w:tc>
        <w:tc>
          <w:tcPr>
            <w:tcW w:w="1800" w:type="dxa"/>
            <w:tcBorders>
              <w:bottom w:val="single" w:sz="4" w:space="0" w:color="auto"/>
            </w:tcBorders>
          </w:tcPr>
          <w:p w:rsidR="00631B07" w:rsidRPr="00663610" w:rsidRDefault="00631B07" w:rsidP="007F7D22">
            <w:pPr>
              <w:tabs>
                <w:tab w:val="clear" w:pos="720"/>
                <w:tab w:val="clear" w:pos="1440"/>
                <w:tab w:val="decimal" w:pos="1584"/>
              </w:tabs>
              <w:ind w:firstLine="764"/>
              <w:jc w:val="right"/>
              <w:rPr>
                <w:szCs w:val="22"/>
              </w:rPr>
            </w:pPr>
            <w:r w:rsidRPr="00663610">
              <w:rPr>
                <w:szCs w:val="22"/>
              </w:rPr>
              <w:t>(</w:t>
            </w:r>
            <w:r w:rsidR="006476C2">
              <w:rPr>
                <w:szCs w:val="22"/>
              </w:rPr>
              <w:t>454</w:t>
            </w:r>
            <w:r w:rsidRPr="00663610">
              <w:rPr>
                <w:szCs w:val="22"/>
              </w:rPr>
              <w:t>)</w:t>
            </w:r>
          </w:p>
        </w:tc>
        <w:tc>
          <w:tcPr>
            <w:tcW w:w="1710" w:type="dxa"/>
            <w:tcBorders>
              <w:bottom w:val="single" w:sz="4" w:space="0" w:color="auto"/>
            </w:tcBorders>
          </w:tcPr>
          <w:p w:rsidR="00631B07" w:rsidRPr="00663610" w:rsidRDefault="00631B07" w:rsidP="004C4AB0">
            <w:pPr>
              <w:jc w:val="right"/>
              <w:rPr>
                <w:szCs w:val="22"/>
              </w:rPr>
            </w:pPr>
            <w:r w:rsidRPr="00663610">
              <w:rPr>
                <w:szCs w:val="22"/>
              </w:rPr>
              <w:t>(</w:t>
            </w:r>
            <w:r w:rsidR="004C4AB0">
              <w:rPr>
                <w:szCs w:val="22"/>
              </w:rPr>
              <w:t>32</w:t>
            </w:r>
            <w:r w:rsidRPr="00663610">
              <w:rPr>
                <w:szCs w:val="22"/>
              </w:rPr>
              <w:t>)</w:t>
            </w:r>
          </w:p>
        </w:tc>
        <w:tc>
          <w:tcPr>
            <w:tcW w:w="1248" w:type="dxa"/>
            <w:tcBorders>
              <w:bottom w:val="single" w:sz="4" w:space="0" w:color="auto"/>
            </w:tcBorders>
            <w:shd w:val="clear" w:color="auto" w:fill="auto"/>
          </w:tcPr>
          <w:p w:rsidR="00631B07" w:rsidRPr="00663610" w:rsidRDefault="00940A9A" w:rsidP="007F7D22">
            <w:pPr>
              <w:tabs>
                <w:tab w:val="clear" w:pos="720"/>
                <w:tab w:val="clear" w:pos="1440"/>
                <w:tab w:val="decimal" w:pos="972"/>
              </w:tabs>
              <w:jc w:val="both"/>
              <w:rPr>
                <w:szCs w:val="22"/>
              </w:rPr>
            </w:pPr>
            <w:r>
              <w:rPr>
                <w:szCs w:val="22"/>
              </w:rPr>
              <w:t xml:space="preserve"> </w:t>
            </w:r>
            <w:r w:rsidR="00927E94">
              <w:rPr>
                <w:szCs w:val="22"/>
              </w:rPr>
              <w:t xml:space="preserve"> </w:t>
            </w:r>
            <w:r w:rsidR="00631B07" w:rsidRPr="00663610">
              <w:rPr>
                <w:szCs w:val="22"/>
              </w:rPr>
              <w:t>(</w:t>
            </w:r>
            <w:r w:rsidR="004C4AB0">
              <w:rPr>
                <w:szCs w:val="22"/>
              </w:rPr>
              <w:t>486</w:t>
            </w:r>
            <w:r w:rsidR="00631B07" w:rsidRPr="00663610">
              <w:rPr>
                <w:szCs w:val="22"/>
              </w:rPr>
              <w:t>)</w:t>
            </w:r>
          </w:p>
        </w:tc>
      </w:tr>
      <w:tr w:rsidR="00631B07" w:rsidRPr="00663610" w:rsidTr="00A06C04">
        <w:trPr>
          <w:gridAfter w:val="1"/>
          <w:wAfter w:w="89" w:type="dxa"/>
        </w:trPr>
        <w:tc>
          <w:tcPr>
            <w:tcW w:w="2679" w:type="dxa"/>
            <w:gridSpan w:val="2"/>
          </w:tcPr>
          <w:p w:rsidR="00631B07" w:rsidRPr="00663610" w:rsidRDefault="00631B07" w:rsidP="003A51C3">
            <w:pPr>
              <w:jc w:val="both"/>
              <w:rPr>
                <w:szCs w:val="22"/>
              </w:rPr>
            </w:pPr>
            <w:r w:rsidRPr="00663610">
              <w:rPr>
                <w:szCs w:val="22"/>
              </w:rPr>
              <w:t>(Loss)/Profit after tax</w:t>
            </w:r>
          </w:p>
        </w:tc>
        <w:tc>
          <w:tcPr>
            <w:tcW w:w="1371" w:type="dxa"/>
            <w:tcBorders>
              <w:top w:val="single" w:sz="4" w:space="0" w:color="auto"/>
              <w:bottom w:val="double" w:sz="4" w:space="0" w:color="auto"/>
            </w:tcBorders>
          </w:tcPr>
          <w:p w:rsidR="00631B07" w:rsidRPr="00663610" w:rsidRDefault="00940A9A" w:rsidP="007F7D22">
            <w:pPr>
              <w:tabs>
                <w:tab w:val="clear" w:pos="720"/>
                <w:tab w:val="clear" w:pos="1440"/>
                <w:tab w:val="decimal" w:pos="1083"/>
              </w:tabs>
              <w:jc w:val="both"/>
              <w:rPr>
                <w:szCs w:val="22"/>
                <w:lang w:eastAsia="zh-CN"/>
              </w:rPr>
            </w:pPr>
            <w:r>
              <w:rPr>
                <w:szCs w:val="22"/>
                <w:lang w:eastAsia="zh-CN"/>
              </w:rPr>
              <w:t>(</w:t>
            </w:r>
            <w:r w:rsidR="004C4AB0">
              <w:rPr>
                <w:szCs w:val="22"/>
                <w:lang w:eastAsia="zh-CN"/>
              </w:rPr>
              <w:t>462</w:t>
            </w:r>
            <w:r>
              <w:rPr>
                <w:szCs w:val="22"/>
                <w:lang w:eastAsia="zh-CN"/>
              </w:rPr>
              <w:t>)</w:t>
            </w:r>
          </w:p>
        </w:tc>
        <w:tc>
          <w:tcPr>
            <w:tcW w:w="1800" w:type="dxa"/>
            <w:tcBorders>
              <w:top w:val="single" w:sz="4" w:space="0" w:color="auto"/>
              <w:bottom w:val="double" w:sz="4" w:space="0" w:color="auto"/>
            </w:tcBorders>
          </w:tcPr>
          <w:p w:rsidR="00631B07" w:rsidRPr="00663610" w:rsidRDefault="004C4AB0" w:rsidP="007F7D22">
            <w:pPr>
              <w:tabs>
                <w:tab w:val="clear" w:pos="720"/>
                <w:tab w:val="clear" w:pos="1440"/>
                <w:tab w:val="decimal" w:pos="1584"/>
              </w:tabs>
              <w:ind w:firstLine="763"/>
              <w:jc w:val="right"/>
              <w:rPr>
                <w:szCs w:val="22"/>
                <w:lang w:eastAsia="zh-CN"/>
              </w:rPr>
            </w:pPr>
            <w:r>
              <w:rPr>
                <w:szCs w:val="22"/>
                <w:lang w:eastAsia="zh-CN"/>
              </w:rPr>
              <w:t>1,823</w:t>
            </w:r>
          </w:p>
        </w:tc>
        <w:tc>
          <w:tcPr>
            <w:tcW w:w="1710" w:type="dxa"/>
            <w:tcBorders>
              <w:top w:val="single" w:sz="4" w:space="0" w:color="auto"/>
              <w:bottom w:val="double" w:sz="4" w:space="0" w:color="auto"/>
            </w:tcBorders>
          </w:tcPr>
          <w:p w:rsidR="00631B07" w:rsidRPr="00663610" w:rsidRDefault="004C4AB0" w:rsidP="00130836">
            <w:pPr>
              <w:tabs>
                <w:tab w:val="clear" w:pos="720"/>
                <w:tab w:val="clear" w:pos="1440"/>
              </w:tabs>
              <w:ind w:right="72"/>
              <w:jc w:val="right"/>
              <w:rPr>
                <w:szCs w:val="22"/>
                <w:lang w:eastAsia="zh-CN"/>
              </w:rPr>
            </w:pPr>
            <w:r>
              <w:rPr>
                <w:szCs w:val="22"/>
                <w:lang w:eastAsia="zh-CN"/>
              </w:rPr>
              <w:t>165</w:t>
            </w:r>
          </w:p>
        </w:tc>
        <w:tc>
          <w:tcPr>
            <w:tcW w:w="1248" w:type="dxa"/>
            <w:tcBorders>
              <w:top w:val="single" w:sz="4" w:space="0" w:color="auto"/>
              <w:bottom w:val="double" w:sz="4" w:space="0" w:color="auto"/>
            </w:tcBorders>
            <w:shd w:val="clear" w:color="auto" w:fill="auto"/>
          </w:tcPr>
          <w:p w:rsidR="00631B07" w:rsidRPr="00663610" w:rsidRDefault="004C4AB0" w:rsidP="007F7D22">
            <w:pPr>
              <w:tabs>
                <w:tab w:val="clear" w:pos="720"/>
                <w:tab w:val="clear" w:pos="1440"/>
                <w:tab w:val="decimal" w:pos="972"/>
              </w:tabs>
              <w:jc w:val="both"/>
              <w:rPr>
                <w:szCs w:val="22"/>
                <w:lang w:eastAsia="zh-CN"/>
              </w:rPr>
            </w:pPr>
            <w:r>
              <w:rPr>
                <w:szCs w:val="22"/>
                <w:lang w:eastAsia="zh-CN"/>
              </w:rPr>
              <w:t>1,526</w:t>
            </w:r>
          </w:p>
        </w:tc>
      </w:tr>
      <w:tr w:rsidR="00631B07" w:rsidRPr="00663610" w:rsidTr="00A06C04">
        <w:trPr>
          <w:gridAfter w:val="1"/>
          <w:wAfter w:w="89" w:type="dxa"/>
        </w:trPr>
        <w:tc>
          <w:tcPr>
            <w:tcW w:w="2679" w:type="dxa"/>
            <w:gridSpan w:val="2"/>
          </w:tcPr>
          <w:p w:rsidR="00631B07" w:rsidRPr="00663610" w:rsidRDefault="00631B07" w:rsidP="003A51C3">
            <w:pPr>
              <w:jc w:val="both"/>
              <w:rPr>
                <w:sz w:val="18"/>
                <w:szCs w:val="18"/>
              </w:rPr>
            </w:pPr>
          </w:p>
        </w:tc>
        <w:tc>
          <w:tcPr>
            <w:tcW w:w="1371" w:type="dxa"/>
            <w:tcBorders>
              <w:top w:val="double" w:sz="4" w:space="0" w:color="auto"/>
            </w:tcBorders>
          </w:tcPr>
          <w:p w:rsidR="00631B07" w:rsidRPr="00663610" w:rsidRDefault="00631B07" w:rsidP="007F7D22">
            <w:pPr>
              <w:tabs>
                <w:tab w:val="decimal" w:pos="1083"/>
              </w:tabs>
              <w:jc w:val="both"/>
              <w:rPr>
                <w:sz w:val="18"/>
                <w:szCs w:val="18"/>
              </w:rPr>
            </w:pPr>
          </w:p>
        </w:tc>
        <w:tc>
          <w:tcPr>
            <w:tcW w:w="1800" w:type="dxa"/>
            <w:tcBorders>
              <w:top w:val="double" w:sz="4" w:space="0" w:color="auto"/>
            </w:tcBorders>
          </w:tcPr>
          <w:p w:rsidR="00631B07" w:rsidRPr="00663610" w:rsidRDefault="00631B07" w:rsidP="00700ABC">
            <w:pPr>
              <w:tabs>
                <w:tab w:val="decimal" w:pos="1584"/>
              </w:tabs>
              <w:ind w:firstLine="764"/>
              <w:jc w:val="right"/>
              <w:rPr>
                <w:sz w:val="18"/>
                <w:szCs w:val="18"/>
              </w:rPr>
            </w:pPr>
          </w:p>
        </w:tc>
        <w:tc>
          <w:tcPr>
            <w:tcW w:w="1710" w:type="dxa"/>
            <w:tcBorders>
              <w:top w:val="double" w:sz="4" w:space="0" w:color="auto"/>
            </w:tcBorders>
          </w:tcPr>
          <w:p w:rsidR="00631B07" w:rsidRPr="00663610" w:rsidRDefault="00631B07" w:rsidP="00130836">
            <w:pPr>
              <w:jc w:val="right"/>
              <w:rPr>
                <w:sz w:val="18"/>
                <w:szCs w:val="18"/>
              </w:rPr>
            </w:pPr>
          </w:p>
        </w:tc>
        <w:tc>
          <w:tcPr>
            <w:tcW w:w="1248" w:type="dxa"/>
            <w:tcBorders>
              <w:top w:val="double" w:sz="4" w:space="0" w:color="auto"/>
            </w:tcBorders>
          </w:tcPr>
          <w:p w:rsidR="00631B07" w:rsidRPr="00663610" w:rsidRDefault="00631B07" w:rsidP="007F7D22">
            <w:pPr>
              <w:tabs>
                <w:tab w:val="decimal" w:pos="972"/>
              </w:tabs>
              <w:jc w:val="both"/>
              <w:rPr>
                <w:sz w:val="18"/>
                <w:szCs w:val="18"/>
              </w:rPr>
            </w:pPr>
          </w:p>
        </w:tc>
      </w:tr>
      <w:tr w:rsidR="00631B07" w:rsidRPr="00663610" w:rsidTr="00A06C04">
        <w:trPr>
          <w:gridBefore w:val="1"/>
          <w:wBefore w:w="6" w:type="dxa"/>
        </w:trPr>
        <w:tc>
          <w:tcPr>
            <w:tcW w:w="2673" w:type="dxa"/>
          </w:tcPr>
          <w:p w:rsidR="00631B07" w:rsidRPr="00663610" w:rsidRDefault="00631B07" w:rsidP="003A51C3">
            <w:pPr>
              <w:jc w:val="both"/>
              <w:rPr>
                <w:b/>
                <w:szCs w:val="22"/>
              </w:rPr>
            </w:pPr>
            <w:r w:rsidRPr="00663610">
              <w:rPr>
                <w:b/>
                <w:szCs w:val="22"/>
              </w:rPr>
              <w:t>Consolidated Statement of Financial Position</w:t>
            </w:r>
          </w:p>
        </w:tc>
        <w:tc>
          <w:tcPr>
            <w:tcW w:w="1371" w:type="dxa"/>
          </w:tcPr>
          <w:p w:rsidR="00631B07" w:rsidRPr="00663610" w:rsidRDefault="00631B07" w:rsidP="007F7D22">
            <w:pPr>
              <w:tabs>
                <w:tab w:val="decimal" w:pos="1083"/>
              </w:tabs>
              <w:jc w:val="both"/>
              <w:rPr>
                <w:szCs w:val="22"/>
              </w:rPr>
            </w:pPr>
          </w:p>
        </w:tc>
        <w:tc>
          <w:tcPr>
            <w:tcW w:w="1800" w:type="dxa"/>
          </w:tcPr>
          <w:p w:rsidR="00631B07" w:rsidRPr="00663610" w:rsidRDefault="00631B07" w:rsidP="00130836">
            <w:pPr>
              <w:jc w:val="right"/>
              <w:rPr>
                <w:szCs w:val="22"/>
              </w:rPr>
            </w:pPr>
          </w:p>
        </w:tc>
        <w:tc>
          <w:tcPr>
            <w:tcW w:w="1710" w:type="dxa"/>
          </w:tcPr>
          <w:p w:rsidR="00631B07" w:rsidRPr="00663610" w:rsidRDefault="00631B07" w:rsidP="00130836">
            <w:pPr>
              <w:jc w:val="right"/>
              <w:rPr>
                <w:szCs w:val="22"/>
              </w:rPr>
            </w:pPr>
          </w:p>
        </w:tc>
        <w:tc>
          <w:tcPr>
            <w:tcW w:w="1337" w:type="dxa"/>
            <w:gridSpan w:val="2"/>
          </w:tcPr>
          <w:p w:rsidR="00631B07" w:rsidRPr="00663610" w:rsidRDefault="00631B07" w:rsidP="007F7D22">
            <w:pPr>
              <w:tabs>
                <w:tab w:val="decimal" w:pos="972"/>
              </w:tabs>
              <w:jc w:val="both"/>
              <w:rPr>
                <w:szCs w:val="22"/>
              </w:rPr>
            </w:pPr>
          </w:p>
        </w:tc>
      </w:tr>
      <w:tr w:rsidR="00093910" w:rsidRPr="00663610" w:rsidTr="00A06C04">
        <w:trPr>
          <w:gridBefore w:val="1"/>
          <w:wBefore w:w="6" w:type="dxa"/>
        </w:trPr>
        <w:tc>
          <w:tcPr>
            <w:tcW w:w="2673" w:type="dxa"/>
          </w:tcPr>
          <w:p w:rsidR="00093910" w:rsidRPr="00BC41F3" w:rsidRDefault="00093910" w:rsidP="003A51C3">
            <w:pPr>
              <w:jc w:val="both"/>
              <w:rPr>
                <w:szCs w:val="22"/>
              </w:rPr>
            </w:pPr>
            <w:r w:rsidRPr="00BC41F3">
              <w:rPr>
                <w:szCs w:val="22"/>
              </w:rPr>
              <w:t>Segment assets</w:t>
            </w:r>
          </w:p>
        </w:tc>
        <w:tc>
          <w:tcPr>
            <w:tcW w:w="1371" w:type="dxa"/>
          </w:tcPr>
          <w:p w:rsidR="00093910" w:rsidRPr="00663610" w:rsidRDefault="00521949" w:rsidP="007F7D22">
            <w:pPr>
              <w:tabs>
                <w:tab w:val="clear" w:pos="720"/>
                <w:tab w:val="clear" w:pos="1440"/>
                <w:tab w:val="decimal" w:pos="1083"/>
              </w:tabs>
              <w:jc w:val="both"/>
              <w:rPr>
                <w:szCs w:val="22"/>
                <w:lang w:eastAsia="zh-CN"/>
              </w:rPr>
            </w:pPr>
            <w:r>
              <w:rPr>
                <w:szCs w:val="22"/>
                <w:lang w:eastAsia="zh-CN"/>
              </w:rPr>
              <w:t>9,482</w:t>
            </w:r>
          </w:p>
        </w:tc>
        <w:tc>
          <w:tcPr>
            <w:tcW w:w="1800" w:type="dxa"/>
          </w:tcPr>
          <w:p w:rsidR="00093910" w:rsidRPr="00663610" w:rsidRDefault="00521949" w:rsidP="006116F1">
            <w:pPr>
              <w:jc w:val="right"/>
              <w:rPr>
                <w:szCs w:val="22"/>
                <w:lang w:eastAsia="zh-CN"/>
              </w:rPr>
            </w:pPr>
            <w:r>
              <w:rPr>
                <w:szCs w:val="22"/>
                <w:lang w:eastAsia="zh-CN"/>
              </w:rPr>
              <w:t>60,736</w:t>
            </w:r>
          </w:p>
        </w:tc>
        <w:tc>
          <w:tcPr>
            <w:tcW w:w="1710" w:type="dxa"/>
          </w:tcPr>
          <w:p w:rsidR="00093910" w:rsidRPr="00663610" w:rsidRDefault="00521949" w:rsidP="007F7D22">
            <w:pPr>
              <w:tabs>
                <w:tab w:val="clear" w:pos="720"/>
                <w:tab w:val="clear" w:pos="1440"/>
              </w:tabs>
              <w:ind w:right="72"/>
              <w:jc w:val="right"/>
              <w:rPr>
                <w:szCs w:val="22"/>
                <w:lang w:eastAsia="zh-CN"/>
              </w:rPr>
            </w:pPr>
            <w:r>
              <w:rPr>
                <w:szCs w:val="22"/>
                <w:lang w:eastAsia="zh-CN"/>
              </w:rPr>
              <w:t>9,947</w:t>
            </w:r>
          </w:p>
        </w:tc>
        <w:tc>
          <w:tcPr>
            <w:tcW w:w="1337" w:type="dxa"/>
            <w:gridSpan w:val="2"/>
          </w:tcPr>
          <w:p w:rsidR="00093910" w:rsidRPr="00663610" w:rsidRDefault="00521949" w:rsidP="007F7D22">
            <w:pPr>
              <w:tabs>
                <w:tab w:val="clear" w:pos="720"/>
                <w:tab w:val="clear" w:pos="1440"/>
                <w:tab w:val="decimal" w:pos="972"/>
              </w:tabs>
              <w:jc w:val="both"/>
              <w:rPr>
                <w:szCs w:val="22"/>
                <w:lang w:eastAsia="zh-CN"/>
              </w:rPr>
            </w:pPr>
            <w:r>
              <w:rPr>
                <w:szCs w:val="22"/>
                <w:lang w:eastAsia="zh-CN"/>
              </w:rPr>
              <w:t>80,165</w:t>
            </w:r>
          </w:p>
        </w:tc>
      </w:tr>
      <w:tr w:rsidR="00093910" w:rsidRPr="00663610" w:rsidTr="00A06C04">
        <w:trPr>
          <w:gridBefore w:val="1"/>
          <w:wBefore w:w="6" w:type="dxa"/>
        </w:trPr>
        <w:tc>
          <w:tcPr>
            <w:tcW w:w="2673" w:type="dxa"/>
          </w:tcPr>
          <w:p w:rsidR="00093910" w:rsidRPr="00BC41F3" w:rsidRDefault="00093910" w:rsidP="003A51C3">
            <w:pPr>
              <w:jc w:val="both"/>
              <w:rPr>
                <w:szCs w:val="22"/>
              </w:rPr>
            </w:pPr>
            <w:r w:rsidRPr="00BC41F3">
              <w:rPr>
                <w:szCs w:val="22"/>
              </w:rPr>
              <w:t>Segment liabilities</w:t>
            </w:r>
          </w:p>
        </w:tc>
        <w:tc>
          <w:tcPr>
            <w:tcW w:w="1371" w:type="dxa"/>
          </w:tcPr>
          <w:p w:rsidR="00093910" w:rsidRPr="00663610" w:rsidRDefault="0035604B" w:rsidP="007F7D22">
            <w:pPr>
              <w:tabs>
                <w:tab w:val="clear" w:pos="720"/>
                <w:tab w:val="clear" w:pos="1440"/>
                <w:tab w:val="decimal" w:pos="1083"/>
              </w:tabs>
              <w:jc w:val="both"/>
              <w:rPr>
                <w:szCs w:val="22"/>
                <w:lang w:eastAsia="zh-CN"/>
              </w:rPr>
            </w:pPr>
            <w:r>
              <w:rPr>
                <w:szCs w:val="22"/>
                <w:lang w:eastAsia="zh-CN"/>
              </w:rPr>
              <w:t>556</w:t>
            </w:r>
          </w:p>
        </w:tc>
        <w:tc>
          <w:tcPr>
            <w:tcW w:w="1800" w:type="dxa"/>
          </w:tcPr>
          <w:p w:rsidR="00093910" w:rsidRPr="00663610" w:rsidRDefault="0035604B" w:rsidP="00B23A43">
            <w:pPr>
              <w:jc w:val="right"/>
              <w:rPr>
                <w:szCs w:val="22"/>
                <w:lang w:eastAsia="zh-CN"/>
              </w:rPr>
            </w:pPr>
            <w:r>
              <w:rPr>
                <w:szCs w:val="22"/>
                <w:lang w:eastAsia="zh-CN"/>
              </w:rPr>
              <w:t>14,25</w:t>
            </w:r>
            <w:r w:rsidR="00B23A43">
              <w:rPr>
                <w:szCs w:val="22"/>
                <w:lang w:eastAsia="zh-CN"/>
              </w:rPr>
              <w:t>1</w:t>
            </w:r>
          </w:p>
        </w:tc>
        <w:tc>
          <w:tcPr>
            <w:tcW w:w="1710" w:type="dxa"/>
          </w:tcPr>
          <w:p w:rsidR="00093910" w:rsidRPr="00663610" w:rsidRDefault="0035604B" w:rsidP="007F7D22">
            <w:pPr>
              <w:tabs>
                <w:tab w:val="clear" w:pos="720"/>
                <w:tab w:val="clear" w:pos="1440"/>
              </w:tabs>
              <w:ind w:right="72"/>
              <w:jc w:val="right"/>
              <w:rPr>
                <w:szCs w:val="22"/>
                <w:lang w:eastAsia="zh-CN"/>
              </w:rPr>
            </w:pPr>
            <w:r>
              <w:rPr>
                <w:szCs w:val="22"/>
                <w:lang w:eastAsia="zh-CN"/>
              </w:rPr>
              <w:t>1,471</w:t>
            </w:r>
          </w:p>
        </w:tc>
        <w:tc>
          <w:tcPr>
            <w:tcW w:w="1337" w:type="dxa"/>
            <w:gridSpan w:val="2"/>
          </w:tcPr>
          <w:p w:rsidR="00093910" w:rsidRPr="00663610" w:rsidRDefault="0035604B" w:rsidP="007F7D22">
            <w:pPr>
              <w:tabs>
                <w:tab w:val="clear" w:pos="720"/>
                <w:tab w:val="clear" w:pos="1440"/>
                <w:tab w:val="decimal" w:pos="972"/>
              </w:tabs>
              <w:jc w:val="both"/>
              <w:rPr>
                <w:szCs w:val="22"/>
                <w:lang w:eastAsia="zh-CN"/>
              </w:rPr>
            </w:pPr>
            <w:r>
              <w:rPr>
                <w:szCs w:val="22"/>
                <w:lang w:eastAsia="zh-CN"/>
              </w:rPr>
              <w:t>16,27</w:t>
            </w:r>
            <w:r w:rsidR="00E8199B">
              <w:rPr>
                <w:szCs w:val="22"/>
                <w:lang w:eastAsia="zh-CN"/>
              </w:rPr>
              <w:t>8</w:t>
            </w:r>
          </w:p>
        </w:tc>
      </w:tr>
    </w:tbl>
    <w:p w:rsidR="00E34F8A" w:rsidRPr="00663610" w:rsidRDefault="00E34F8A" w:rsidP="001B0AC1">
      <w:pPr>
        <w:rPr>
          <w:lang w:eastAsia="zh-CN"/>
        </w:rPr>
      </w:pPr>
    </w:p>
    <w:p w:rsidR="002A76BE" w:rsidRPr="00663610" w:rsidRDefault="002A76BE" w:rsidP="0076492B">
      <w:pPr>
        <w:pStyle w:val="BodyText"/>
        <w:spacing w:line="235" w:lineRule="auto"/>
        <w:rPr>
          <w:b/>
          <w:bCs/>
          <w:szCs w:val="22"/>
          <w:lang w:eastAsia="zh-CN"/>
        </w:rPr>
      </w:pPr>
      <w:r w:rsidRPr="00663610">
        <w:rPr>
          <w:b/>
          <w:bCs/>
          <w:szCs w:val="22"/>
          <w:lang w:eastAsia="zh-CN"/>
        </w:rPr>
        <w:t>10.</w:t>
      </w:r>
      <w:r w:rsidRPr="00663610">
        <w:rPr>
          <w:b/>
          <w:bCs/>
          <w:szCs w:val="22"/>
          <w:lang w:eastAsia="zh-CN"/>
        </w:rPr>
        <w:tab/>
        <w:t>Valuation of Property, Plant and Equipment</w:t>
      </w:r>
    </w:p>
    <w:p w:rsidR="002A76BE" w:rsidRPr="00663610" w:rsidRDefault="002A76BE" w:rsidP="0076492B">
      <w:pPr>
        <w:pStyle w:val="BodyText"/>
        <w:spacing w:line="235" w:lineRule="auto"/>
        <w:rPr>
          <w:b/>
          <w:bCs/>
          <w:szCs w:val="22"/>
          <w:lang w:eastAsia="zh-CN"/>
        </w:rPr>
      </w:pPr>
    </w:p>
    <w:p w:rsidR="002A76BE" w:rsidRPr="00663610" w:rsidRDefault="002A76BE" w:rsidP="005E2394">
      <w:pPr>
        <w:pStyle w:val="BodyText"/>
        <w:spacing w:line="235" w:lineRule="auto"/>
        <w:ind w:left="720"/>
        <w:rPr>
          <w:bCs/>
          <w:szCs w:val="22"/>
          <w:lang w:eastAsia="zh-CN"/>
        </w:rPr>
      </w:pPr>
      <w:r w:rsidRPr="00663610">
        <w:rPr>
          <w:bCs/>
          <w:szCs w:val="22"/>
          <w:lang w:eastAsia="zh-CN"/>
        </w:rPr>
        <w:t>The Group did not revalue any of its property, plant and equipment during the current financial quarter under review. Therefore, the valuation of property, plant and equipment has been brought forward without amendment from the previous annual financial statements.</w:t>
      </w:r>
    </w:p>
    <w:p w:rsidR="002A76BE" w:rsidRPr="00663610" w:rsidRDefault="002A76BE" w:rsidP="0076492B">
      <w:pPr>
        <w:pStyle w:val="BodyText"/>
        <w:spacing w:line="235" w:lineRule="auto"/>
        <w:rPr>
          <w:bCs/>
          <w:szCs w:val="22"/>
          <w:lang w:eastAsia="zh-CN"/>
        </w:rPr>
      </w:pPr>
    </w:p>
    <w:p w:rsidR="00541004" w:rsidRPr="00663610" w:rsidRDefault="00E75F61" w:rsidP="0076492B">
      <w:pPr>
        <w:pStyle w:val="BodyText"/>
        <w:spacing w:line="235" w:lineRule="auto"/>
        <w:rPr>
          <w:b/>
          <w:bCs/>
          <w:szCs w:val="22"/>
        </w:rPr>
      </w:pPr>
      <w:r w:rsidRPr="00663610">
        <w:rPr>
          <w:rFonts w:hint="eastAsia"/>
          <w:b/>
          <w:bCs/>
          <w:szCs w:val="22"/>
          <w:lang w:eastAsia="zh-CN"/>
        </w:rPr>
        <w:t>1</w:t>
      </w:r>
      <w:r w:rsidR="002A76BE" w:rsidRPr="00663610">
        <w:rPr>
          <w:b/>
          <w:bCs/>
          <w:szCs w:val="22"/>
          <w:lang w:eastAsia="zh-CN"/>
        </w:rPr>
        <w:t>1</w:t>
      </w:r>
      <w:r w:rsidR="00541004" w:rsidRPr="00663610">
        <w:rPr>
          <w:b/>
          <w:bCs/>
          <w:szCs w:val="22"/>
        </w:rPr>
        <w:t>.</w:t>
      </w:r>
      <w:r w:rsidR="00541004" w:rsidRPr="00663610">
        <w:rPr>
          <w:b/>
          <w:bCs/>
          <w:szCs w:val="22"/>
        </w:rPr>
        <w:tab/>
        <w:t>Material Events Subsequent to the End of the Current Financial Quarter</w:t>
      </w:r>
    </w:p>
    <w:p w:rsidR="00541004" w:rsidRPr="00663610" w:rsidRDefault="00541004" w:rsidP="0076492B">
      <w:pPr>
        <w:pStyle w:val="BodyText"/>
        <w:spacing w:line="235" w:lineRule="auto"/>
        <w:rPr>
          <w:szCs w:val="22"/>
        </w:rPr>
      </w:pPr>
    </w:p>
    <w:p w:rsidR="00541004" w:rsidRPr="00663610" w:rsidRDefault="00541004" w:rsidP="009D5566">
      <w:pPr>
        <w:pStyle w:val="BodyText"/>
        <w:spacing w:line="235" w:lineRule="auto"/>
        <w:ind w:left="720"/>
        <w:rPr>
          <w:szCs w:val="22"/>
        </w:rPr>
      </w:pPr>
      <w:r w:rsidRPr="00663610">
        <w:rPr>
          <w:szCs w:val="22"/>
        </w:rPr>
        <w:t>There were no material events occurred fro</w:t>
      </w:r>
      <w:r w:rsidR="00E46A24" w:rsidRPr="00663610">
        <w:rPr>
          <w:szCs w:val="22"/>
        </w:rPr>
        <w:t xml:space="preserve">m </w:t>
      </w:r>
      <w:r w:rsidR="00600FCC">
        <w:rPr>
          <w:szCs w:val="22"/>
        </w:rPr>
        <w:t xml:space="preserve">1 </w:t>
      </w:r>
      <w:r w:rsidR="00A00E39">
        <w:rPr>
          <w:szCs w:val="22"/>
        </w:rPr>
        <w:t>April</w:t>
      </w:r>
      <w:r w:rsidR="00600FCC">
        <w:rPr>
          <w:szCs w:val="22"/>
        </w:rPr>
        <w:t xml:space="preserve"> 2013 </w:t>
      </w:r>
      <w:r w:rsidRPr="00663610">
        <w:rPr>
          <w:szCs w:val="22"/>
        </w:rPr>
        <w:t xml:space="preserve">to the date of </w:t>
      </w:r>
      <w:r w:rsidR="00A23523" w:rsidRPr="00663610">
        <w:rPr>
          <w:rFonts w:hint="eastAsia"/>
          <w:szCs w:val="22"/>
          <w:lang w:eastAsia="zh-CN"/>
        </w:rPr>
        <w:t>announcement</w:t>
      </w:r>
      <w:r w:rsidR="002E6F18" w:rsidRPr="00663610">
        <w:rPr>
          <w:szCs w:val="22"/>
        </w:rPr>
        <w:t>.</w:t>
      </w:r>
    </w:p>
    <w:p w:rsidR="002D5E21" w:rsidRPr="00663610" w:rsidRDefault="002D5E21" w:rsidP="0076492B">
      <w:pPr>
        <w:pStyle w:val="BodyText"/>
        <w:spacing w:line="235" w:lineRule="auto"/>
        <w:ind w:left="720"/>
        <w:rPr>
          <w:szCs w:val="22"/>
          <w:lang w:eastAsia="zh-CN"/>
        </w:rPr>
      </w:pPr>
    </w:p>
    <w:p w:rsidR="00541004" w:rsidRPr="00663610" w:rsidRDefault="00541004" w:rsidP="0076492B">
      <w:pPr>
        <w:pStyle w:val="Heading2"/>
        <w:spacing w:line="235" w:lineRule="auto"/>
        <w:rPr>
          <w:sz w:val="22"/>
          <w:szCs w:val="22"/>
        </w:rPr>
      </w:pPr>
      <w:r w:rsidRPr="00663610">
        <w:rPr>
          <w:sz w:val="22"/>
          <w:szCs w:val="22"/>
        </w:rPr>
        <w:t>1</w:t>
      </w:r>
      <w:r w:rsidR="002A76BE" w:rsidRPr="00663610">
        <w:rPr>
          <w:sz w:val="22"/>
          <w:szCs w:val="22"/>
          <w:lang w:eastAsia="zh-CN"/>
        </w:rPr>
        <w:t>2</w:t>
      </w:r>
      <w:r w:rsidRPr="00663610">
        <w:rPr>
          <w:sz w:val="22"/>
          <w:szCs w:val="22"/>
        </w:rPr>
        <w:t>.</w:t>
      </w:r>
      <w:r w:rsidRPr="00663610">
        <w:rPr>
          <w:sz w:val="22"/>
          <w:szCs w:val="22"/>
        </w:rPr>
        <w:tab/>
        <w:t>Changes in the Composition of the Group</w:t>
      </w:r>
    </w:p>
    <w:p w:rsidR="00541004" w:rsidRPr="00663610" w:rsidRDefault="00541004" w:rsidP="0076492B">
      <w:pPr>
        <w:pStyle w:val="BodyText"/>
        <w:spacing w:line="235" w:lineRule="auto"/>
        <w:rPr>
          <w:szCs w:val="22"/>
        </w:rPr>
      </w:pPr>
    </w:p>
    <w:p w:rsidR="007F5291" w:rsidRPr="00663610" w:rsidRDefault="007F5291" w:rsidP="0076492B">
      <w:pPr>
        <w:pStyle w:val="BodyText"/>
        <w:spacing w:line="235" w:lineRule="auto"/>
        <w:ind w:left="720"/>
        <w:rPr>
          <w:szCs w:val="22"/>
        </w:rPr>
      </w:pPr>
      <w:r w:rsidRPr="00663610">
        <w:rPr>
          <w:szCs w:val="22"/>
        </w:rPr>
        <w:t>There were no changes in the composition of the Group during the current financial quarter under review.</w:t>
      </w:r>
    </w:p>
    <w:p w:rsidR="002D5E21" w:rsidRPr="00663610" w:rsidRDefault="002D5E21" w:rsidP="0076492B">
      <w:pPr>
        <w:pStyle w:val="BodyText"/>
        <w:spacing w:line="235" w:lineRule="auto"/>
        <w:rPr>
          <w:b/>
          <w:bCs/>
          <w:szCs w:val="22"/>
          <w:lang w:eastAsia="zh-CN"/>
        </w:rPr>
      </w:pPr>
    </w:p>
    <w:p w:rsidR="00541004" w:rsidRPr="00663610" w:rsidRDefault="00541004" w:rsidP="0076492B">
      <w:pPr>
        <w:pStyle w:val="BodyText"/>
        <w:spacing w:line="235" w:lineRule="auto"/>
        <w:rPr>
          <w:b/>
          <w:bCs/>
          <w:szCs w:val="22"/>
        </w:rPr>
      </w:pPr>
      <w:r w:rsidRPr="00663610">
        <w:rPr>
          <w:b/>
          <w:bCs/>
          <w:szCs w:val="22"/>
        </w:rPr>
        <w:t>1</w:t>
      </w:r>
      <w:r w:rsidR="002A76BE" w:rsidRPr="00663610">
        <w:rPr>
          <w:b/>
          <w:bCs/>
          <w:szCs w:val="22"/>
          <w:lang w:eastAsia="zh-CN"/>
        </w:rPr>
        <w:t>3</w:t>
      </w:r>
      <w:r w:rsidRPr="00663610">
        <w:rPr>
          <w:b/>
          <w:bCs/>
          <w:szCs w:val="22"/>
        </w:rPr>
        <w:t>.</w:t>
      </w:r>
      <w:r w:rsidRPr="00663610">
        <w:rPr>
          <w:b/>
          <w:bCs/>
          <w:szCs w:val="22"/>
        </w:rPr>
        <w:tab/>
        <w:t>Contingent Liabilities and Contingent Assets</w:t>
      </w:r>
    </w:p>
    <w:p w:rsidR="00541004" w:rsidRPr="00663610" w:rsidRDefault="00D05BF8" w:rsidP="0076492B">
      <w:pPr>
        <w:pStyle w:val="BodyText"/>
        <w:spacing w:line="235" w:lineRule="auto"/>
        <w:rPr>
          <w:sz w:val="18"/>
          <w:szCs w:val="18"/>
        </w:rPr>
      </w:pPr>
      <w:r w:rsidRPr="00663610">
        <w:rPr>
          <w:szCs w:val="22"/>
        </w:rPr>
        <w:tab/>
      </w:r>
    </w:p>
    <w:p w:rsidR="00D05BF8" w:rsidRPr="00663610" w:rsidRDefault="00D05BF8" w:rsidP="00E56779">
      <w:pPr>
        <w:pStyle w:val="BodyText"/>
        <w:numPr>
          <w:ilvl w:val="0"/>
          <w:numId w:val="2"/>
        </w:numPr>
        <w:spacing w:line="235" w:lineRule="auto"/>
        <w:rPr>
          <w:b/>
          <w:szCs w:val="22"/>
        </w:rPr>
      </w:pPr>
      <w:r w:rsidRPr="00663610">
        <w:rPr>
          <w:b/>
          <w:szCs w:val="22"/>
        </w:rPr>
        <w:t>Contingent liabilities</w:t>
      </w:r>
    </w:p>
    <w:p w:rsidR="00D05BF8" w:rsidRPr="00663610" w:rsidRDefault="00D05BF8" w:rsidP="00D05BF8">
      <w:pPr>
        <w:pStyle w:val="BodyText"/>
        <w:spacing w:line="235" w:lineRule="auto"/>
        <w:ind w:left="720"/>
        <w:rPr>
          <w:b/>
          <w:szCs w:val="22"/>
        </w:rPr>
      </w:pPr>
    </w:p>
    <w:p w:rsidR="00DC0E25" w:rsidRPr="00663610" w:rsidRDefault="00894648" w:rsidP="004E7AA5">
      <w:pPr>
        <w:tabs>
          <w:tab w:val="clear" w:pos="720"/>
          <w:tab w:val="clear" w:pos="1440"/>
        </w:tabs>
        <w:autoSpaceDE w:val="0"/>
        <w:autoSpaceDN w:val="0"/>
        <w:adjustRightInd w:val="0"/>
        <w:ind w:left="360" w:firstLine="720"/>
        <w:rPr>
          <w:szCs w:val="22"/>
          <w:lang w:eastAsia="zh-CN"/>
        </w:rPr>
      </w:pPr>
      <w:r w:rsidRPr="00663610">
        <w:rPr>
          <w:szCs w:val="22"/>
          <w:lang w:eastAsia="zh-CN"/>
        </w:rPr>
        <w:t>The amount</w:t>
      </w:r>
      <w:r w:rsidR="00DC0E25" w:rsidRPr="00663610">
        <w:rPr>
          <w:szCs w:val="22"/>
          <w:lang w:eastAsia="zh-CN"/>
        </w:rPr>
        <w:t xml:space="preserve"> of contingent liabilities as at </w:t>
      </w:r>
      <w:r w:rsidR="00600FCC">
        <w:rPr>
          <w:szCs w:val="22"/>
          <w:lang w:eastAsia="zh-CN"/>
        </w:rPr>
        <w:t xml:space="preserve">31 </w:t>
      </w:r>
      <w:r w:rsidR="005B529A">
        <w:rPr>
          <w:szCs w:val="22"/>
          <w:lang w:eastAsia="zh-CN"/>
        </w:rPr>
        <w:t>March</w:t>
      </w:r>
      <w:r w:rsidR="00600FCC">
        <w:rPr>
          <w:szCs w:val="22"/>
          <w:lang w:eastAsia="zh-CN"/>
        </w:rPr>
        <w:t xml:space="preserve"> </w:t>
      </w:r>
      <w:r w:rsidR="00AD4113" w:rsidRPr="00663610">
        <w:rPr>
          <w:rFonts w:hint="eastAsia"/>
          <w:szCs w:val="22"/>
          <w:lang w:eastAsia="zh-CN"/>
        </w:rPr>
        <w:t>201</w:t>
      </w:r>
      <w:r w:rsidR="005B529A">
        <w:rPr>
          <w:szCs w:val="22"/>
          <w:lang w:eastAsia="zh-CN"/>
        </w:rPr>
        <w:t>3</w:t>
      </w:r>
      <w:r w:rsidR="0096719E" w:rsidRPr="00663610">
        <w:rPr>
          <w:szCs w:val="22"/>
          <w:lang w:eastAsia="zh-CN"/>
        </w:rPr>
        <w:t xml:space="preserve"> are</w:t>
      </w:r>
      <w:r w:rsidR="008F0D2F" w:rsidRPr="00663610">
        <w:rPr>
          <w:szCs w:val="22"/>
          <w:lang w:eastAsia="zh-CN"/>
        </w:rPr>
        <w:t xml:space="preserve"> as follow</w:t>
      </w:r>
      <w:r w:rsidR="0099558C" w:rsidRPr="00663610">
        <w:rPr>
          <w:szCs w:val="22"/>
          <w:lang w:eastAsia="zh-CN"/>
        </w:rPr>
        <w:t>s</w:t>
      </w:r>
      <w:r w:rsidR="00DC0E25" w:rsidRPr="00663610">
        <w:rPr>
          <w:szCs w:val="22"/>
          <w:lang w:eastAsia="zh-CN"/>
        </w:rPr>
        <w:t>:</w:t>
      </w:r>
    </w:p>
    <w:p w:rsidR="00985ED1" w:rsidRPr="00663610" w:rsidRDefault="00985ED1" w:rsidP="00E0401C">
      <w:pPr>
        <w:tabs>
          <w:tab w:val="clear" w:pos="720"/>
          <w:tab w:val="clear" w:pos="1440"/>
        </w:tabs>
        <w:autoSpaceDE w:val="0"/>
        <w:autoSpaceDN w:val="0"/>
        <w:adjustRightInd w:val="0"/>
        <w:ind w:firstLine="720"/>
        <w:rPr>
          <w:szCs w:val="22"/>
          <w:lang w:eastAsia="zh-CN"/>
        </w:rPr>
      </w:pPr>
    </w:p>
    <w:tbl>
      <w:tblPr>
        <w:tblW w:w="0" w:type="auto"/>
        <w:tblInd w:w="8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7200"/>
        <w:gridCol w:w="1710"/>
      </w:tblGrid>
      <w:tr w:rsidR="00985ED1" w:rsidRPr="00663610">
        <w:tc>
          <w:tcPr>
            <w:tcW w:w="7200" w:type="dxa"/>
            <w:shd w:val="clear" w:color="auto" w:fill="auto"/>
          </w:tcPr>
          <w:p w:rsidR="00985ED1" w:rsidRPr="00663610" w:rsidRDefault="00985ED1" w:rsidP="00795EE5">
            <w:pPr>
              <w:tabs>
                <w:tab w:val="clear" w:pos="720"/>
                <w:tab w:val="clear" w:pos="1440"/>
              </w:tabs>
              <w:autoSpaceDE w:val="0"/>
              <w:autoSpaceDN w:val="0"/>
              <w:adjustRightInd w:val="0"/>
              <w:rPr>
                <w:szCs w:val="22"/>
                <w:lang w:eastAsia="zh-CN"/>
              </w:rPr>
            </w:pPr>
          </w:p>
        </w:tc>
        <w:tc>
          <w:tcPr>
            <w:tcW w:w="1710" w:type="dxa"/>
            <w:tcBorders>
              <w:bottom w:val="single" w:sz="4" w:space="0" w:color="C0C0C0"/>
            </w:tcBorders>
            <w:shd w:val="clear" w:color="auto" w:fill="auto"/>
          </w:tcPr>
          <w:p w:rsidR="00985ED1" w:rsidRPr="00663610" w:rsidRDefault="00985ED1" w:rsidP="00860875">
            <w:pPr>
              <w:tabs>
                <w:tab w:val="clear" w:pos="720"/>
                <w:tab w:val="clear" w:pos="1440"/>
              </w:tabs>
              <w:autoSpaceDE w:val="0"/>
              <w:autoSpaceDN w:val="0"/>
              <w:adjustRightInd w:val="0"/>
              <w:jc w:val="center"/>
              <w:rPr>
                <w:szCs w:val="22"/>
                <w:u w:val="single"/>
                <w:lang w:eastAsia="zh-CN"/>
              </w:rPr>
            </w:pPr>
            <w:r w:rsidRPr="00663610">
              <w:rPr>
                <w:szCs w:val="22"/>
                <w:u w:val="single"/>
                <w:lang w:eastAsia="zh-CN"/>
              </w:rPr>
              <w:t>RM</w:t>
            </w:r>
          </w:p>
        </w:tc>
      </w:tr>
      <w:tr w:rsidR="00985ED1" w:rsidRPr="00663610">
        <w:tc>
          <w:tcPr>
            <w:tcW w:w="7200" w:type="dxa"/>
            <w:tcBorders>
              <w:right w:val="single" w:sz="4" w:space="0" w:color="C0C0C0"/>
            </w:tcBorders>
            <w:shd w:val="clear" w:color="auto" w:fill="auto"/>
          </w:tcPr>
          <w:p w:rsidR="00985ED1" w:rsidRPr="00663610" w:rsidRDefault="00985ED1" w:rsidP="004E7AA5">
            <w:pPr>
              <w:tabs>
                <w:tab w:val="clear" w:pos="720"/>
                <w:tab w:val="clear" w:pos="1440"/>
              </w:tabs>
              <w:autoSpaceDE w:val="0"/>
              <w:autoSpaceDN w:val="0"/>
              <w:adjustRightInd w:val="0"/>
              <w:ind w:firstLine="252"/>
              <w:rPr>
                <w:szCs w:val="22"/>
                <w:lang w:eastAsia="zh-CN"/>
              </w:rPr>
            </w:pPr>
            <w:r w:rsidRPr="00663610">
              <w:rPr>
                <w:szCs w:val="22"/>
                <w:lang w:eastAsia="zh-CN"/>
              </w:rPr>
              <w:t>Guarantees to banks for trade facilities granted</w:t>
            </w:r>
          </w:p>
        </w:tc>
        <w:tc>
          <w:tcPr>
            <w:tcW w:w="1710" w:type="dxa"/>
            <w:tcBorders>
              <w:top w:val="single" w:sz="4" w:space="0" w:color="C0C0C0"/>
              <w:left w:val="single" w:sz="4" w:space="0" w:color="C0C0C0"/>
              <w:bottom w:val="single" w:sz="4" w:space="0" w:color="C0C0C0"/>
              <w:right w:val="single" w:sz="4" w:space="0" w:color="C0C0C0"/>
            </w:tcBorders>
            <w:shd w:val="clear" w:color="auto" w:fill="auto"/>
          </w:tcPr>
          <w:p w:rsidR="00985ED1" w:rsidRPr="00663610" w:rsidRDefault="00600FCC" w:rsidP="00955099">
            <w:pPr>
              <w:tabs>
                <w:tab w:val="clear" w:pos="720"/>
                <w:tab w:val="clear" w:pos="1440"/>
              </w:tabs>
              <w:autoSpaceDE w:val="0"/>
              <w:autoSpaceDN w:val="0"/>
              <w:adjustRightInd w:val="0"/>
              <w:jc w:val="center"/>
              <w:rPr>
                <w:szCs w:val="22"/>
                <w:lang w:eastAsia="zh-CN"/>
              </w:rPr>
            </w:pPr>
            <w:r>
              <w:rPr>
                <w:szCs w:val="22"/>
                <w:lang w:eastAsia="zh-CN"/>
              </w:rPr>
              <w:t>23,050,000</w:t>
            </w:r>
          </w:p>
        </w:tc>
      </w:tr>
      <w:tr w:rsidR="001A3032" w:rsidRPr="00663610">
        <w:tc>
          <w:tcPr>
            <w:tcW w:w="7200" w:type="dxa"/>
            <w:shd w:val="clear" w:color="auto" w:fill="auto"/>
          </w:tcPr>
          <w:p w:rsidR="001A3032" w:rsidRPr="00663610" w:rsidRDefault="001A3032" w:rsidP="004E7AA5">
            <w:pPr>
              <w:ind w:firstLine="252"/>
              <w:rPr>
                <w:szCs w:val="22"/>
              </w:rPr>
            </w:pPr>
            <w:r w:rsidRPr="00663610">
              <w:rPr>
                <w:szCs w:val="22"/>
                <w:lang w:eastAsia="zh-CN"/>
              </w:rPr>
              <w:t xml:space="preserve">Guarantees to suppliers </w:t>
            </w:r>
          </w:p>
        </w:tc>
        <w:tc>
          <w:tcPr>
            <w:tcW w:w="1710" w:type="dxa"/>
            <w:tcBorders>
              <w:top w:val="single" w:sz="4" w:space="0" w:color="C0C0C0"/>
              <w:bottom w:val="double" w:sz="4" w:space="0" w:color="auto"/>
            </w:tcBorders>
            <w:shd w:val="clear" w:color="auto" w:fill="auto"/>
          </w:tcPr>
          <w:p w:rsidR="001A3032" w:rsidRPr="00663610" w:rsidRDefault="00707206" w:rsidP="00860875">
            <w:pPr>
              <w:tabs>
                <w:tab w:val="clear" w:pos="720"/>
                <w:tab w:val="clear" w:pos="1440"/>
              </w:tabs>
              <w:autoSpaceDE w:val="0"/>
              <w:autoSpaceDN w:val="0"/>
              <w:adjustRightInd w:val="0"/>
              <w:jc w:val="center"/>
              <w:rPr>
                <w:szCs w:val="22"/>
                <w:lang w:eastAsia="zh-CN"/>
              </w:rPr>
            </w:pPr>
            <w:r w:rsidRPr="00663610">
              <w:rPr>
                <w:szCs w:val="22"/>
                <w:lang w:eastAsia="zh-CN"/>
              </w:rPr>
              <w:t xml:space="preserve">  </w:t>
            </w:r>
            <w:r w:rsidR="00457906" w:rsidRPr="00663610">
              <w:rPr>
                <w:szCs w:val="22"/>
                <w:lang w:eastAsia="zh-CN"/>
              </w:rPr>
              <w:t>3,000,000</w:t>
            </w:r>
          </w:p>
        </w:tc>
      </w:tr>
    </w:tbl>
    <w:p w:rsidR="002A76BE" w:rsidRPr="00663610" w:rsidRDefault="002A76BE" w:rsidP="00D05BF8">
      <w:pPr>
        <w:tabs>
          <w:tab w:val="clear" w:pos="720"/>
          <w:tab w:val="clear" w:pos="1440"/>
          <w:tab w:val="left" w:pos="1080"/>
        </w:tabs>
        <w:autoSpaceDE w:val="0"/>
        <w:autoSpaceDN w:val="0"/>
        <w:adjustRightInd w:val="0"/>
        <w:ind w:firstLine="720"/>
        <w:rPr>
          <w:b/>
          <w:bCs/>
          <w:szCs w:val="22"/>
          <w:lang w:eastAsia="zh-CN"/>
        </w:rPr>
      </w:pPr>
    </w:p>
    <w:p w:rsidR="00DC0E25" w:rsidRPr="00663610" w:rsidRDefault="00DC0E25" w:rsidP="00D05BF8">
      <w:pPr>
        <w:tabs>
          <w:tab w:val="clear" w:pos="720"/>
          <w:tab w:val="clear" w:pos="1440"/>
          <w:tab w:val="left" w:pos="1080"/>
        </w:tabs>
        <w:autoSpaceDE w:val="0"/>
        <w:autoSpaceDN w:val="0"/>
        <w:adjustRightInd w:val="0"/>
        <w:ind w:firstLine="720"/>
        <w:rPr>
          <w:b/>
          <w:bCs/>
          <w:szCs w:val="22"/>
          <w:lang w:eastAsia="zh-CN"/>
        </w:rPr>
      </w:pPr>
      <w:r w:rsidRPr="00663610">
        <w:rPr>
          <w:b/>
          <w:bCs/>
          <w:szCs w:val="22"/>
          <w:lang w:eastAsia="zh-CN"/>
        </w:rPr>
        <w:t xml:space="preserve">(b) </w:t>
      </w:r>
      <w:r w:rsidR="00D05BF8" w:rsidRPr="00663610">
        <w:rPr>
          <w:b/>
          <w:bCs/>
          <w:szCs w:val="22"/>
          <w:lang w:eastAsia="zh-CN"/>
        </w:rPr>
        <w:tab/>
      </w:r>
      <w:r w:rsidRPr="00663610">
        <w:rPr>
          <w:b/>
          <w:bCs/>
          <w:szCs w:val="22"/>
          <w:lang w:eastAsia="zh-CN"/>
        </w:rPr>
        <w:t>Contingent assets</w:t>
      </w:r>
    </w:p>
    <w:p w:rsidR="00D05BF8" w:rsidRPr="00663610" w:rsidRDefault="00D05BF8" w:rsidP="00D05BF8">
      <w:pPr>
        <w:tabs>
          <w:tab w:val="clear" w:pos="720"/>
          <w:tab w:val="clear" w:pos="1440"/>
        </w:tabs>
        <w:autoSpaceDE w:val="0"/>
        <w:autoSpaceDN w:val="0"/>
        <w:adjustRightInd w:val="0"/>
        <w:ind w:firstLine="720"/>
        <w:rPr>
          <w:szCs w:val="22"/>
          <w:lang w:eastAsia="zh-CN"/>
        </w:rPr>
      </w:pPr>
    </w:p>
    <w:p w:rsidR="00126186" w:rsidRPr="00663610" w:rsidRDefault="00DC0E25" w:rsidP="004E7AA5">
      <w:pPr>
        <w:tabs>
          <w:tab w:val="clear" w:pos="720"/>
          <w:tab w:val="clear" w:pos="1440"/>
        </w:tabs>
        <w:autoSpaceDE w:val="0"/>
        <w:autoSpaceDN w:val="0"/>
        <w:adjustRightInd w:val="0"/>
        <w:ind w:firstLine="1080"/>
        <w:rPr>
          <w:szCs w:val="22"/>
          <w:lang w:eastAsia="zh-CN"/>
        </w:rPr>
      </w:pPr>
      <w:r w:rsidRPr="00663610">
        <w:rPr>
          <w:szCs w:val="22"/>
          <w:lang w:eastAsia="zh-CN"/>
        </w:rPr>
        <w:t xml:space="preserve">There were no contingent assets as at the end of current financial </w:t>
      </w:r>
      <w:r w:rsidR="005C6403" w:rsidRPr="00663610">
        <w:rPr>
          <w:szCs w:val="22"/>
          <w:lang w:eastAsia="zh-CN"/>
        </w:rPr>
        <w:t>quarter</w:t>
      </w:r>
      <w:r w:rsidR="00112159" w:rsidRPr="00663610">
        <w:rPr>
          <w:szCs w:val="22"/>
          <w:lang w:eastAsia="zh-CN"/>
        </w:rPr>
        <w:t xml:space="preserve"> under review</w:t>
      </w:r>
      <w:r w:rsidRPr="00663610">
        <w:rPr>
          <w:szCs w:val="22"/>
          <w:lang w:eastAsia="zh-CN"/>
        </w:rPr>
        <w:t>.</w:t>
      </w:r>
    </w:p>
    <w:p w:rsidR="002A76BE" w:rsidRPr="00663610" w:rsidRDefault="002A76BE" w:rsidP="004E7AA5">
      <w:pPr>
        <w:tabs>
          <w:tab w:val="clear" w:pos="720"/>
          <w:tab w:val="clear" w:pos="1440"/>
        </w:tabs>
        <w:autoSpaceDE w:val="0"/>
        <w:autoSpaceDN w:val="0"/>
        <w:adjustRightInd w:val="0"/>
        <w:ind w:firstLine="1080"/>
        <w:rPr>
          <w:szCs w:val="22"/>
          <w:lang w:eastAsia="zh-CN"/>
        </w:rPr>
      </w:pPr>
    </w:p>
    <w:p w:rsidR="00C32491" w:rsidRDefault="00C32491" w:rsidP="00FA54DB">
      <w:pPr>
        <w:pStyle w:val="BodyText"/>
        <w:spacing w:line="235" w:lineRule="auto"/>
        <w:jc w:val="left"/>
        <w:rPr>
          <w:b/>
          <w:bCs/>
          <w:szCs w:val="22"/>
        </w:rPr>
      </w:pPr>
    </w:p>
    <w:p w:rsidR="00C32491" w:rsidRDefault="00C32491" w:rsidP="00FA54DB">
      <w:pPr>
        <w:pStyle w:val="BodyText"/>
        <w:spacing w:line="235" w:lineRule="auto"/>
        <w:jc w:val="left"/>
        <w:rPr>
          <w:b/>
          <w:bCs/>
          <w:szCs w:val="22"/>
        </w:rPr>
      </w:pPr>
    </w:p>
    <w:p w:rsidR="00FC7788" w:rsidRPr="00663610" w:rsidRDefault="00FC7788" w:rsidP="00FA54DB">
      <w:pPr>
        <w:pStyle w:val="BodyText"/>
        <w:spacing w:line="235" w:lineRule="auto"/>
        <w:jc w:val="left"/>
        <w:rPr>
          <w:b/>
          <w:bCs/>
          <w:szCs w:val="22"/>
        </w:rPr>
      </w:pPr>
      <w:r w:rsidRPr="00663610">
        <w:rPr>
          <w:b/>
          <w:bCs/>
          <w:szCs w:val="22"/>
        </w:rPr>
        <w:t>1</w:t>
      </w:r>
      <w:r w:rsidR="002A76BE" w:rsidRPr="00663610">
        <w:rPr>
          <w:b/>
          <w:bCs/>
          <w:szCs w:val="22"/>
          <w:lang w:eastAsia="zh-CN"/>
        </w:rPr>
        <w:t>4</w:t>
      </w:r>
      <w:r w:rsidR="00E75F61" w:rsidRPr="00663610">
        <w:rPr>
          <w:rFonts w:hint="eastAsia"/>
          <w:b/>
          <w:bCs/>
          <w:szCs w:val="22"/>
          <w:lang w:eastAsia="zh-CN"/>
        </w:rPr>
        <w:t>.</w:t>
      </w:r>
      <w:r w:rsidRPr="00663610">
        <w:rPr>
          <w:b/>
          <w:bCs/>
          <w:szCs w:val="22"/>
        </w:rPr>
        <w:tab/>
        <w:t>Capital Commitment</w:t>
      </w:r>
    </w:p>
    <w:p w:rsidR="00FC7788" w:rsidRPr="00663610" w:rsidRDefault="00FC7788" w:rsidP="00FC7788">
      <w:pPr>
        <w:pStyle w:val="BodyText"/>
        <w:spacing w:line="235" w:lineRule="auto"/>
        <w:ind w:left="720" w:hanging="720"/>
        <w:jc w:val="left"/>
        <w:rPr>
          <w:b/>
          <w:bCs/>
          <w:szCs w:val="22"/>
        </w:rPr>
      </w:pPr>
    </w:p>
    <w:p w:rsidR="00FC7788" w:rsidRPr="00663610" w:rsidRDefault="00FC7788" w:rsidP="00FC7788">
      <w:pPr>
        <w:pStyle w:val="BodyText"/>
        <w:spacing w:line="235" w:lineRule="auto"/>
        <w:ind w:left="720" w:hanging="720"/>
        <w:jc w:val="left"/>
        <w:rPr>
          <w:bCs/>
          <w:szCs w:val="22"/>
        </w:rPr>
      </w:pPr>
      <w:r w:rsidRPr="00663610">
        <w:rPr>
          <w:b/>
          <w:bCs/>
          <w:szCs w:val="22"/>
        </w:rPr>
        <w:tab/>
      </w:r>
      <w:r w:rsidR="00515947" w:rsidRPr="00663610">
        <w:rPr>
          <w:bCs/>
          <w:szCs w:val="22"/>
        </w:rPr>
        <w:t>Capital commitment</w:t>
      </w:r>
      <w:r w:rsidRPr="00663610">
        <w:rPr>
          <w:bCs/>
          <w:szCs w:val="22"/>
        </w:rPr>
        <w:t xml:space="preserve"> as at </w:t>
      </w:r>
      <w:r w:rsidR="00407662">
        <w:rPr>
          <w:szCs w:val="22"/>
          <w:lang w:eastAsia="zh-CN"/>
        </w:rPr>
        <w:t xml:space="preserve">31 March </w:t>
      </w:r>
      <w:r w:rsidR="00407662" w:rsidRPr="00663610">
        <w:rPr>
          <w:rFonts w:hint="eastAsia"/>
          <w:szCs w:val="22"/>
          <w:lang w:eastAsia="zh-CN"/>
        </w:rPr>
        <w:t>201</w:t>
      </w:r>
      <w:r w:rsidR="00407662">
        <w:rPr>
          <w:szCs w:val="22"/>
          <w:lang w:eastAsia="zh-CN"/>
        </w:rPr>
        <w:t>3</w:t>
      </w:r>
      <w:r w:rsidR="00407662" w:rsidRPr="00663610">
        <w:rPr>
          <w:szCs w:val="22"/>
          <w:lang w:eastAsia="zh-CN"/>
        </w:rPr>
        <w:t xml:space="preserve"> </w:t>
      </w:r>
      <w:r w:rsidR="0096719E" w:rsidRPr="00663610">
        <w:rPr>
          <w:bCs/>
          <w:szCs w:val="22"/>
        </w:rPr>
        <w:t>is</w:t>
      </w:r>
      <w:r w:rsidRPr="00663610">
        <w:rPr>
          <w:bCs/>
          <w:szCs w:val="22"/>
        </w:rPr>
        <w:t xml:space="preserve"> as follow</w:t>
      </w:r>
      <w:r w:rsidR="00AC025B" w:rsidRPr="00663610">
        <w:rPr>
          <w:bCs/>
          <w:szCs w:val="22"/>
        </w:rPr>
        <w:t>s</w:t>
      </w:r>
      <w:r w:rsidRPr="00663610">
        <w:rPr>
          <w:bCs/>
          <w:szCs w:val="22"/>
        </w:rPr>
        <w:t>:</w:t>
      </w:r>
    </w:p>
    <w:p w:rsidR="008B4458" w:rsidRPr="00663610" w:rsidRDefault="00FC7788" w:rsidP="00FC7788">
      <w:pPr>
        <w:pStyle w:val="BodyText"/>
        <w:spacing w:line="235" w:lineRule="auto"/>
        <w:ind w:left="720" w:hanging="720"/>
        <w:jc w:val="left"/>
        <w:rPr>
          <w:szCs w:val="22"/>
        </w:rPr>
      </w:pPr>
      <w:r w:rsidRPr="00663610">
        <w:rPr>
          <w:b/>
          <w:bCs/>
          <w:szCs w:val="22"/>
        </w:rPr>
        <w:t xml:space="preserve"> </w:t>
      </w:r>
      <w:r w:rsidRPr="00663610" w:rsidDel="00FC7788">
        <w:rPr>
          <w:szCs w:val="22"/>
        </w:rPr>
        <w:t xml:space="preserve"> </w:t>
      </w:r>
    </w:p>
    <w:tbl>
      <w:tblPr>
        <w:tblW w:w="0" w:type="auto"/>
        <w:tblInd w:w="8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7200"/>
        <w:gridCol w:w="1710"/>
      </w:tblGrid>
      <w:tr w:rsidR="008D6936" w:rsidRPr="00663610">
        <w:tc>
          <w:tcPr>
            <w:tcW w:w="7200" w:type="dxa"/>
            <w:shd w:val="clear" w:color="auto" w:fill="auto"/>
          </w:tcPr>
          <w:p w:rsidR="008D6936" w:rsidRPr="00663610" w:rsidRDefault="008D6936" w:rsidP="00795EE5">
            <w:pPr>
              <w:tabs>
                <w:tab w:val="clear" w:pos="720"/>
                <w:tab w:val="clear" w:pos="1440"/>
              </w:tabs>
              <w:autoSpaceDE w:val="0"/>
              <w:autoSpaceDN w:val="0"/>
              <w:adjustRightInd w:val="0"/>
              <w:rPr>
                <w:szCs w:val="22"/>
                <w:lang w:eastAsia="zh-CN"/>
              </w:rPr>
            </w:pPr>
            <w:r w:rsidRPr="00663610">
              <w:rPr>
                <w:szCs w:val="22"/>
                <w:lang w:eastAsia="zh-CN"/>
              </w:rPr>
              <w:t>Capital expenditure:</w:t>
            </w:r>
          </w:p>
        </w:tc>
        <w:tc>
          <w:tcPr>
            <w:tcW w:w="1710" w:type="dxa"/>
            <w:shd w:val="clear" w:color="auto" w:fill="auto"/>
          </w:tcPr>
          <w:p w:rsidR="008D6936" w:rsidRPr="00663610" w:rsidRDefault="008D6936" w:rsidP="00795EE5">
            <w:pPr>
              <w:tabs>
                <w:tab w:val="clear" w:pos="720"/>
                <w:tab w:val="clear" w:pos="1440"/>
              </w:tabs>
              <w:autoSpaceDE w:val="0"/>
              <w:autoSpaceDN w:val="0"/>
              <w:adjustRightInd w:val="0"/>
              <w:jc w:val="center"/>
              <w:rPr>
                <w:szCs w:val="22"/>
                <w:u w:val="single"/>
                <w:lang w:eastAsia="zh-CN"/>
              </w:rPr>
            </w:pPr>
            <w:r w:rsidRPr="00663610">
              <w:rPr>
                <w:szCs w:val="22"/>
                <w:u w:val="single"/>
                <w:lang w:eastAsia="zh-CN"/>
              </w:rPr>
              <w:t>RM</w:t>
            </w:r>
          </w:p>
        </w:tc>
      </w:tr>
      <w:tr w:rsidR="008D6936" w:rsidRPr="00663610">
        <w:tc>
          <w:tcPr>
            <w:tcW w:w="7200" w:type="dxa"/>
            <w:shd w:val="clear" w:color="auto" w:fill="auto"/>
          </w:tcPr>
          <w:p w:rsidR="008D6936" w:rsidRPr="00663610" w:rsidRDefault="008D6936">
            <w:pPr>
              <w:tabs>
                <w:tab w:val="clear" w:pos="720"/>
                <w:tab w:val="clear" w:pos="1440"/>
              </w:tabs>
              <w:autoSpaceDE w:val="0"/>
              <w:autoSpaceDN w:val="0"/>
              <w:adjustRightInd w:val="0"/>
              <w:ind w:firstLine="252"/>
              <w:rPr>
                <w:szCs w:val="22"/>
                <w:lang w:eastAsia="zh-CN"/>
              </w:rPr>
            </w:pPr>
            <w:r w:rsidRPr="00663610">
              <w:rPr>
                <w:szCs w:val="22"/>
                <w:lang w:eastAsia="zh-CN"/>
              </w:rPr>
              <w:t xml:space="preserve">Approved but not </w:t>
            </w:r>
            <w:r w:rsidR="000D660A">
              <w:rPr>
                <w:szCs w:val="22"/>
                <w:lang w:eastAsia="zh-CN"/>
              </w:rPr>
              <w:t>contracted</w:t>
            </w:r>
            <w:r w:rsidR="000D660A" w:rsidRPr="00663610">
              <w:rPr>
                <w:szCs w:val="22"/>
                <w:lang w:eastAsia="zh-CN"/>
              </w:rPr>
              <w:t xml:space="preserve"> </w:t>
            </w:r>
            <w:r w:rsidRPr="00663610">
              <w:rPr>
                <w:szCs w:val="22"/>
                <w:lang w:eastAsia="zh-CN"/>
              </w:rPr>
              <w:t>for</w:t>
            </w:r>
          </w:p>
        </w:tc>
        <w:tc>
          <w:tcPr>
            <w:tcW w:w="1710" w:type="dxa"/>
            <w:tcBorders>
              <w:bottom w:val="double" w:sz="4" w:space="0" w:color="auto"/>
            </w:tcBorders>
            <w:shd w:val="clear" w:color="auto" w:fill="auto"/>
          </w:tcPr>
          <w:p w:rsidR="008D6936" w:rsidRPr="00663610" w:rsidRDefault="00E8199B" w:rsidP="00EA0A4D">
            <w:pPr>
              <w:tabs>
                <w:tab w:val="clear" w:pos="720"/>
                <w:tab w:val="clear" w:pos="1440"/>
              </w:tabs>
              <w:autoSpaceDE w:val="0"/>
              <w:autoSpaceDN w:val="0"/>
              <w:adjustRightInd w:val="0"/>
              <w:jc w:val="center"/>
              <w:rPr>
                <w:szCs w:val="22"/>
                <w:lang w:eastAsia="zh-CN"/>
              </w:rPr>
            </w:pPr>
            <w:r>
              <w:rPr>
                <w:szCs w:val="22"/>
                <w:lang w:eastAsia="zh-CN"/>
              </w:rPr>
              <w:t>620,693</w:t>
            </w:r>
          </w:p>
        </w:tc>
      </w:tr>
    </w:tbl>
    <w:p w:rsidR="002D5E21" w:rsidRPr="00663610" w:rsidRDefault="002D5E21" w:rsidP="00802DE5">
      <w:pPr>
        <w:rPr>
          <w:szCs w:val="22"/>
          <w:lang w:eastAsia="zh-CN"/>
        </w:rPr>
      </w:pPr>
    </w:p>
    <w:p w:rsidR="005B5743" w:rsidRPr="00663610" w:rsidRDefault="005B5743" w:rsidP="005B5743">
      <w:pPr>
        <w:spacing w:line="235" w:lineRule="auto"/>
        <w:jc w:val="both"/>
        <w:rPr>
          <w:b/>
          <w:bCs/>
          <w:szCs w:val="22"/>
          <w:lang w:eastAsia="zh-CN"/>
        </w:rPr>
      </w:pPr>
      <w:r w:rsidRPr="00663610">
        <w:rPr>
          <w:b/>
          <w:bCs/>
          <w:szCs w:val="22"/>
        </w:rPr>
        <w:t>1</w:t>
      </w:r>
      <w:r w:rsidRPr="00663610">
        <w:rPr>
          <w:b/>
          <w:bCs/>
          <w:szCs w:val="22"/>
          <w:lang w:eastAsia="zh-CN"/>
        </w:rPr>
        <w:t>5</w:t>
      </w:r>
      <w:r w:rsidRPr="00663610">
        <w:rPr>
          <w:b/>
          <w:bCs/>
          <w:szCs w:val="22"/>
        </w:rPr>
        <w:t>.</w:t>
      </w:r>
      <w:r w:rsidRPr="00663610">
        <w:rPr>
          <w:b/>
          <w:bCs/>
          <w:szCs w:val="22"/>
        </w:rPr>
        <w:tab/>
      </w:r>
      <w:r w:rsidRPr="00885F7D">
        <w:rPr>
          <w:b/>
          <w:bCs/>
          <w:szCs w:val="22"/>
        </w:rPr>
        <w:t xml:space="preserve">Performance </w:t>
      </w:r>
      <w:r w:rsidRPr="00885F7D">
        <w:rPr>
          <w:rFonts w:hint="eastAsia"/>
          <w:b/>
          <w:bCs/>
          <w:szCs w:val="22"/>
          <w:lang w:eastAsia="zh-CN"/>
        </w:rPr>
        <w:t xml:space="preserve">Review </w:t>
      </w:r>
    </w:p>
    <w:p w:rsidR="005B5743" w:rsidRPr="00663610" w:rsidRDefault="005B5743" w:rsidP="005B5743">
      <w:pPr>
        <w:spacing w:line="235" w:lineRule="auto"/>
        <w:jc w:val="both"/>
        <w:rPr>
          <w:b/>
          <w:bCs/>
          <w:szCs w:val="22"/>
          <w:lang w:eastAsia="zh-CN"/>
        </w:rPr>
      </w:pPr>
    </w:p>
    <w:p w:rsidR="005B5743" w:rsidRPr="00663610" w:rsidRDefault="005B5743" w:rsidP="005B5743">
      <w:pPr>
        <w:spacing w:line="235" w:lineRule="auto"/>
        <w:jc w:val="both"/>
        <w:rPr>
          <w:b/>
          <w:bCs/>
          <w:szCs w:val="22"/>
          <w:u w:val="single"/>
          <w:lang w:eastAsia="zh-CN"/>
        </w:rPr>
      </w:pPr>
      <w:r w:rsidRPr="00663610">
        <w:rPr>
          <w:rFonts w:hint="eastAsia"/>
          <w:b/>
          <w:bCs/>
          <w:szCs w:val="22"/>
          <w:lang w:eastAsia="zh-CN"/>
        </w:rPr>
        <w:tab/>
      </w:r>
      <w:r w:rsidRPr="00663610">
        <w:rPr>
          <w:b/>
          <w:bCs/>
          <w:szCs w:val="22"/>
          <w:u w:val="single"/>
        </w:rPr>
        <w:t>Current Financial Quarter</w:t>
      </w:r>
      <w:r w:rsidRPr="00663610">
        <w:rPr>
          <w:rFonts w:hint="eastAsia"/>
          <w:b/>
          <w:bCs/>
          <w:szCs w:val="22"/>
          <w:u w:val="single"/>
          <w:lang w:eastAsia="zh-CN"/>
        </w:rPr>
        <w:t xml:space="preserve"> </w:t>
      </w:r>
      <w:r w:rsidRPr="00663610">
        <w:rPr>
          <w:b/>
          <w:bCs/>
          <w:szCs w:val="22"/>
          <w:u w:val="single"/>
          <w:lang w:eastAsia="zh-CN"/>
        </w:rPr>
        <w:t>as compared with</w:t>
      </w:r>
      <w:r w:rsidRPr="00663610">
        <w:rPr>
          <w:rFonts w:hint="eastAsia"/>
          <w:b/>
          <w:bCs/>
          <w:szCs w:val="22"/>
          <w:u w:val="single"/>
          <w:lang w:eastAsia="zh-CN"/>
        </w:rPr>
        <w:t xml:space="preserve"> Previous Year Corresponding Quarter</w:t>
      </w:r>
    </w:p>
    <w:p w:rsidR="005B5743" w:rsidRPr="00663610" w:rsidRDefault="005B5743" w:rsidP="005B5743">
      <w:pPr>
        <w:pStyle w:val="BodyText"/>
        <w:spacing w:line="235" w:lineRule="auto"/>
        <w:ind w:left="720"/>
        <w:rPr>
          <w:szCs w:val="22"/>
          <w:u w:val="single"/>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1710"/>
        <w:gridCol w:w="1890"/>
        <w:gridCol w:w="1710"/>
        <w:gridCol w:w="1352"/>
      </w:tblGrid>
      <w:tr w:rsidR="005B5743" w:rsidRPr="00663610" w:rsidTr="00157179">
        <w:tc>
          <w:tcPr>
            <w:tcW w:w="2790" w:type="dxa"/>
            <w:tcBorders>
              <w:top w:val="single" w:sz="4" w:space="0" w:color="auto"/>
              <w:left w:val="single" w:sz="4" w:space="0" w:color="auto"/>
              <w:bottom w:val="nil"/>
              <w:right w:val="single" w:sz="4" w:space="0" w:color="auto"/>
            </w:tcBorders>
            <w:shd w:val="clear" w:color="auto" w:fill="auto"/>
          </w:tcPr>
          <w:p w:rsidR="005B5743" w:rsidRPr="00663610" w:rsidRDefault="005B5743" w:rsidP="00157179">
            <w:pPr>
              <w:pStyle w:val="BodyText"/>
              <w:spacing w:line="235" w:lineRule="auto"/>
              <w:rPr>
                <w:szCs w:val="22"/>
              </w:rPr>
            </w:pPr>
          </w:p>
        </w:tc>
        <w:tc>
          <w:tcPr>
            <w:tcW w:w="3600" w:type="dxa"/>
            <w:gridSpan w:val="2"/>
            <w:tcBorders>
              <w:left w:val="single" w:sz="4" w:space="0" w:color="auto"/>
            </w:tcBorders>
            <w:shd w:val="clear" w:color="auto" w:fill="auto"/>
          </w:tcPr>
          <w:p w:rsidR="005B5743" w:rsidRPr="00663610" w:rsidRDefault="005B5743" w:rsidP="00157179">
            <w:pPr>
              <w:pStyle w:val="BodyText"/>
              <w:spacing w:line="235" w:lineRule="auto"/>
              <w:jc w:val="center"/>
              <w:rPr>
                <w:szCs w:val="22"/>
              </w:rPr>
            </w:pPr>
            <w:r w:rsidRPr="00663610">
              <w:rPr>
                <w:b/>
                <w:bCs/>
                <w:szCs w:val="22"/>
              </w:rPr>
              <w:t>3 Months Ended</w:t>
            </w:r>
          </w:p>
        </w:tc>
        <w:tc>
          <w:tcPr>
            <w:tcW w:w="3062" w:type="dxa"/>
            <w:gridSpan w:val="2"/>
            <w:shd w:val="clear" w:color="auto" w:fill="auto"/>
          </w:tcPr>
          <w:p w:rsidR="005B5743" w:rsidRPr="00663610" w:rsidRDefault="005B5743" w:rsidP="00157179">
            <w:pPr>
              <w:pStyle w:val="BodyText"/>
              <w:spacing w:line="235" w:lineRule="auto"/>
              <w:jc w:val="center"/>
              <w:rPr>
                <w:b/>
                <w:bCs/>
                <w:szCs w:val="22"/>
              </w:rPr>
            </w:pPr>
            <w:r w:rsidRPr="00663610">
              <w:rPr>
                <w:b/>
                <w:bCs/>
                <w:szCs w:val="22"/>
              </w:rPr>
              <w:t>Variance</w:t>
            </w:r>
          </w:p>
        </w:tc>
      </w:tr>
      <w:tr w:rsidR="005B5743" w:rsidRPr="00663610" w:rsidTr="00157179">
        <w:tc>
          <w:tcPr>
            <w:tcW w:w="2790" w:type="dxa"/>
            <w:tcBorders>
              <w:top w:val="nil"/>
              <w:left w:val="single" w:sz="4" w:space="0" w:color="auto"/>
              <w:bottom w:val="nil"/>
              <w:right w:val="single" w:sz="4" w:space="0" w:color="auto"/>
            </w:tcBorders>
            <w:shd w:val="clear" w:color="auto" w:fill="auto"/>
          </w:tcPr>
          <w:p w:rsidR="005B5743" w:rsidRPr="00663610" w:rsidRDefault="005B5743" w:rsidP="00157179">
            <w:pPr>
              <w:pStyle w:val="BodyText"/>
              <w:spacing w:line="235" w:lineRule="auto"/>
              <w:rPr>
                <w:szCs w:val="22"/>
              </w:rPr>
            </w:pPr>
          </w:p>
        </w:tc>
        <w:tc>
          <w:tcPr>
            <w:tcW w:w="1710" w:type="dxa"/>
            <w:tcBorders>
              <w:left w:val="single" w:sz="4" w:space="0" w:color="auto"/>
            </w:tcBorders>
            <w:shd w:val="clear" w:color="auto" w:fill="auto"/>
          </w:tcPr>
          <w:p w:rsidR="005B5743" w:rsidRPr="00663610" w:rsidRDefault="005B5743" w:rsidP="00553EA9">
            <w:pPr>
              <w:pStyle w:val="BodyText"/>
              <w:tabs>
                <w:tab w:val="clear" w:pos="1080"/>
              </w:tabs>
              <w:spacing w:line="235" w:lineRule="auto"/>
              <w:jc w:val="center"/>
              <w:rPr>
                <w:b/>
                <w:bCs/>
                <w:szCs w:val="22"/>
                <w:lang w:eastAsia="zh-CN"/>
              </w:rPr>
            </w:pPr>
            <w:r w:rsidRPr="00663610">
              <w:rPr>
                <w:rFonts w:hint="eastAsia"/>
                <w:b/>
                <w:bCs/>
                <w:szCs w:val="22"/>
                <w:lang w:eastAsia="zh-CN"/>
              </w:rPr>
              <w:t>3</w:t>
            </w:r>
            <w:r>
              <w:rPr>
                <w:b/>
                <w:bCs/>
                <w:szCs w:val="22"/>
                <w:lang w:eastAsia="zh-CN"/>
              </w:rPr>
              <w:t>1</w:t>
            </w:r>
            <w:r w:rsidRPr="00663610">
              <w:rPr>
                <w:rFonts w:hint="eastAsia"/>
                <w:b/>
                <w:bCs/>
                <w:szCs w:val="22"/>
                <w:lang w:eastAsia="zh-CN"/>
              </w:rPr>
              <w:t>.</w:t>
            </w:r>
            <w:r w:rsidR="00553EA9">
              <w:rPr>
                <w:b/>
                <w:bCs/>
                <w:szCs w:val="22"/>
                <w:lang w:eastAsia="zh-CN"/>
              </w:rPr>
              <w:t>03</w:t>
            </w:r>
            <w:r w:rsidRPr="00663610">
              <w:rPr>
                <w:rFonts w:hint="eastAsia"/>
                <w:b/>
                <w:bCs/>
                <w:szCs w:val="22"/>
                <w:lang w:eastAsia="zh-CN"/>
              </w:rPr>
              <w:t>.201</w:t>
            </w:r>
            <w:r w:rsidR="00553EA9">
              <w:rPr>
                <w:b/>
                <w:bCs/>
                <w:szCs w:val="22"/>
                <w:lang w:eastAsia="zh-CN"/>
              </w:rPr>
              <w:t>3</w:t>
            </w:r>
          </w:p>
        </w:tc>
        <w:tc>
          <w:tcPr>
            <w:tcW w:w="1890" w:type="dxa"/>
            <w:shd w:val="clear" w:color="auto" w:fill="auto"/>
          </w:tcPr>
          <w:p w:rsidR="005B5743" w:rsidRPr="00663610" w:rsidRDefault="005B5743" w:rsidP="00553EA9">
            <w:pPr>
              <w:pStyle w:val="BodyText"/>
              <w:tabs>
                <w:tab w:val="clear" w:pos="1080"/>
              </w:tabs>
              <w:spacing w:line="235" w:lineRule="auto"/>
              <w:jc w:val="center"/>
              <w:rPr>
                <w:b/>
                <w:bCs/>
                <w:iCs/>
                <w:szCs w:val="22"/>
                <w:lang w:eastAsia="zh-CN"/>
              </w:rPr>
            </w:pPr>
            <w:r w:rsidRPr="00663610">
              <w:rPr>
                <w:rFonts w:hint="eastAsia"/>
                <w:b/>
                <w:bCs/>
                <w:szCs w:val="22"/>
                <w:lang w:eastAsia="zh-CN"/>
              </w:rPr>
              <w:t>3</w:t>
            </w:r>
            <w:r>
              <w:rPr>
                <w:b/>
                <w:bCs/>
                <w:szCs w:val="22"/>
                <w:lang w:eastAsia="zh-CN"/>
              </w:rPr>
              <w:t>1</w:t>
            </w:r>
            <w:r w:rsidRPr="00663610">
              <w:rPr>
                <w:rFonts w:hint="eastAsia"/>
                <w:b/>
                <w:bCs/>
                <w:szCs w:val="22"/>
                <w:lang w:eastAsia="zh-CN"/>
              </w:rPr>
              <w:t>.</w:t>
            </w:r>
            <w:r w:rsidR="00553EA9">
              <w:rPr>
                <w:b/>
                <w:bCs/>
                <w:szCs w:val="22"/>
                <w:lang w:eastAsia="zh-CN"/>
              </w:rPr>
              <w:t>03</w:t>
            </w:r>
            <w:r w:rsidRPr="00663610">
              <w:rPr>
                <w:rFonts w:hint="eastAsia"/>
                <w:b/>
                <w:bCs/>
                <w:szCs w:val="22"/>
                <w:lang w:eastAsia="zh-CN"/>
              </w:rPr>
              <w:t>.201</w:t>
            </w:r>
            <w:r w:rsidR="00553EA9">
              <w:rPr>
                <w:b/>
                <w:bCs/>
                <w:szCs w:val="22"/>
                <w:lang w:eastAsia="zh-CN"/>
              </w:rPr>
              <w:t>2</w:t>
            </w:r>
          </w:p>
        </w:tc>
        <w:tc>
          <w:tcPr>
            <w:tcW w:w="1710" w:type="dxa"/>
            <w:shd w:val="clear" w:color="auto" w:fill="auto"/>
          </w:tcPr>
          <w:p w:rsidR="005B5743" w:rsidRPr="00663610" w:rsidRDefault="005B5743" w:rsidP="00157179">
            <w:pPr>
              <w:pStyle w:val="BodyText"/>
              <w:tabs>
                <w:tab w:val="clear" w:pos="1080"/>
              </w:tabs>
              <w:spacing w:line="235" w:lineRule="auto"/>
              <w:jc w:val="center"/>
              <w:rPr>
                <w:b/>
                <w:bCs/>
                <w:iCs/>
                <w:szCs w:val="22"/>
              </w:rPr>
            </w:pPr>
            <w:r w:rsidRPr="00663610">
              <w:rPr>
                <w:b/>
                <w:bCs/>
                <w:iCs/>
                <w:szCs w:val="22"/>
              </w:rPr>
              <w:t>Amount</w:t>
            </w:r>
          </w:p>
        </w:tc>
        <w:tc>
          <w:tcPr>
            <w:tcW w:w="1352" w:type="dxa"/>
            <w:vMerge w:val="restart"/>
            <w:shd w:val="clear" w:color="auto" w:fill="auto"/>
            <w:vAlign w:val="center"/>
          </w:tcPr>
          <w:p w:rsidR="005B5743" w:rsidRPr="00663610" w:rsidRDefault="005B5743" w:rsidP="00157179">
            <w:pPr>
              <w:pStyle w:val="BodyText"/>
              <w:spacing w:line="235" w:lineRule="auto"/>
              <w:jc w:val="center"/>
              <w:rPr>
                <w:b/>
                <w:bCs/>
                <w:iCs/>
                <w:szCs w:val="22"/>
              </w:rPr>
            </w:pPr>
            <w:r w:rsidRPr="00663610">
              <w:rPr>
                <w:b/>
                <w:bCs/>
                <w:iCs/>
                <w:szCs w:val="22"/>
              </w:rPr>
              <w:t>%</w:t>
            </w:r>
          </w:p>
        </w:tc>
      </w:tr>
      <w:tr w:rsidR="005B5743" w:rsidRPr="00663610" w:rsidTr="00157179">
        <w:tc>
          <w:tcPr>
            <w:tcW w:w="2790" w:type="dxa"/>
            <w:tcBorders>
              <w:top w:val="nil"/>
              <w:left w:val="single" w:sz="4" w:space="0" w:color="auto"/>
              <w:bottom w:val="single" w:sz="4" w:space="0" w:color="auto"/>
              <w:right w:val="single" w:sz="4" w:space="0" w:color="auto"/>
            </w:tcBorders>
            <w:shd w:val="clear" w:color="auto" w:fill="auto"/>
          </w:tcPr>
          <w:p w:rsidR="005B5743" w:rsidRPr="00663610" w:rsidRDefault="005B5743" w:rsidP="00157179">
            <w:pPr>
              <w:pStyle w:val="BodyText"/>
              <w:spacing w:line="235" w:lineRule="auto"/>
              <w:rPr>
                <w:szCs w:val="22"/>
              </w:rPr>
            </w:pPr>
          </w:p>
        </w:tc>
        <w:tc>
          <w:tcPr>
            <w:tcW w:w="1710" w:type="dxa"/>
            <w:tcBorders>
              <w:left w:val="single" w:sz="4" w:space="0" w:color="auto"/>
            </w:tcBorders>
            <w:shd w:val="clear" w:color="auto" w:fill="auto"/>
          </w:tcPr>
          <w:p w:rsidR="005B5743" w:rsidRPr="00663610" w:rsidRDefault="005B5743" w:rsidP="00157179">
            <w:pPr>
              <w:pStyle w:val="BodyText"/>
              <w:spacing w:line="235" w:lineRule="auto"/>
              <w:jc w:val="center"/>
              <w:rPr>
                <w:b/>
                <w:szCs w:val="22"/>
              </w:rPr>
            </w:pPr>
            <w:r w:rsidRPr="00663610">
              <w:rPr>
                <w:b/>
                <w:szCs w:val="22"/>
              </w:rPr>
              <w:t>RM’000</w:t>
            </w:r>
          </w:p>
        </w:tc>
        <w:tc>
          <w:tcPr>
            <w:tcW w:w="1890" w:type="dxa"/>
            <w:shd w:val="clear" w:color="auto" w:fill="auto"/>
          </w:tcPr>
          <w:p w:rsidR="005B5743" w:rsidRPr="00663610" w:rsidRDefault="005B5743" w:rsidP="00157179">
            <w:pPr>
              <w:pStyle w:val="BodyText"/>
              <w:spacing w:line="235" w:lineRule="auto"/>
              <w:jc w:val="center"/>
              <w:rPr>
                <w:b/>
                <w:szCs w:val="22"/>
              </w:rPr>
            </w:pPr>
            <w:r w:rsidRPr="00663610">
              <w:rPr>
                <w:b/>
                <w:szCs w:val="22"/>
              </w:rPr>
              <w:t>RM’000</w:t>
            </w:r>
          </w:p>
        </w:tc>
        <w:tc>
          <w:tcPr>
            <w:tcW w:w="1710" w:type="dxa"/>
            <w:shd w:val="clear" w:color="auto" w:fill="auto"/>
          </w:tcPr>
          <w:p w:rsidR="005B5743" w:rsidRPr="00663610" w:rsidRDefault="005B5743" w:rsidP="00157179">
            <w:pPr>
              <w:pStyle w:val="BodyText"/>
              <w:spacing w:line="235" w:lineRule="auto"/>
              <w:jc w:val="center"/>
              <w:rPr>
                <w:b/>
                <w:szCs w:val="22"/>
              </w:rPr>
            </w:pPr>
            <w:r w:rsidRPr="00663610">
              <w:rPr>
                <w:b/>
                <w:szCs w:val="22"/>
              </w:rPr>
              <w:t>RM’000</w:t>
            </w:r>
          </w:p>
        </w:tc>
        <w:tc>
          <w:tcPr>
            <w:tcW w:w="1352" w:type="dxa"/>
            <w:vMerge/>
            <w:shd w:val="clear" w:color="auto" w:fill="auto"/>
          </w:tcPr>
          <w:p w:rsidR="005B5743" w:rsidRPr="00663610" w:rsidRDefault="005B5743" w:rsidP="00157179">
            <w:pPr>
              <w:pStyle w:val="BodyText"/>
              <w:spacing w:line="235" w:lineRule="auto"/>
              <w:jc w:val="center"/>
              <w:rPr>
                <w:szCs w:val="22"/>
              </w:rPr>
            </w:pPr>
          </w:p>
        </w:tc>
      </w:tr>
      <w:tr w:rsidR="005B5743" w:rsidRPr="00663610" w:rsidTr="00157179">
        <w:tc>
          <w:tcPr>
            <w:tcW w:w="2790" w:type="dxa"/>
            <w:tcBorders>
              <w:top w:val="single" w:sz="4" w:space="0" w:color="auto"/>
            </w:tcBorders>
            <w:shd w:val="clear" w:color="auto" w:fill="auto"/>
          </w:tcPr>
          <w:p w:rsidR="005B5743" w:rsidRPr="00663610" w:rsidRDefault="005B5743" w:rsidP="00157179">
            <w:pPr>
              <w:pStyle w:val="BodyText"/>
              <w:spacing w:line="235" w:lineRule="auto"/>
              <w:rPr>
                <w:szCs w:val="22"/>
              </w:rPr>
            </w:pPr>
            <w:r w:rsidRPr="00663610">
              <w:rPr>
                <w:szCs w:val="22"/>
              </w:rPr>
              <w:t>Revenue</w:t>
            </w:r>
          </w:p>
        </w:tc>
        <w:tc>
          <w:tcPr>
            <w:tcW w:w="1710" w:type="dxa"/>
            <w:shd w:val="clear" w:color="auto" w:fill="auto"/>
          </w:tcPr>
          <w:p w:rsidR="005B5743" w:rsidRPr="00663610" w:rsidRDefault="00553EA9" w:rsidP="00157179">
            <w:pPr>
              <w:pStyle w:val="BodyText"/>
              <w:spacing w:line="235" w:lineRule="auto"/>
              <w:jc w:val="center"/>
              <w:rPr>
                <w:szCs w:val="22"/>
                <w:lang w:eastAsia="zh-CN"/>
              </w:rPr>
            </w:pPr>
            <w:r>
              <w:rPr>
                <w:szCs w:val="22"/>
                <w:lang w:eastAsia="zh-CN"/>
              </w:rPr>
              <w:t>34,172</w:t>
            </w:r>
          </w:p>
        </w:tc>
        <w:tc>
          <w:tcPr>
            <w:tcW w:w="1890" w:type="dxa"/>
            <w:shd w:val="clear" w:color="auto" w:fill="auto"/>
          </w:tcPr>
          <w:p w:rsidR="005B5743" w:rsidRPr="00663610" w:rsidRDefault="00553EA9" w:rsidP="00157179">
            <w:pPr>
              <w:pStyle w:val="BodyText"/>
              <w:spacing w:line="235" w:lineRule="auto"/>
              <w:jc w:val="center"/>
              <w:rPr>
                <w:szCs w:val="22"/>
                <w:lang w:eastAsia="zh-CN"/>
              </w:rPr>
            </w:pPr>
            <w:r>
              <w:rPr>
                <w:szCs w:val="22"/>
                <w:lang w:eastAsia="zh-CN"/>
              </w:rPr>
              <w:t>28,625</w:t>
            </w:r>
          </w:p>
        </w:tc>
        <w:tc>
          <w:tcPr>
            <w:tcW w:w="1710" w:type="dxa"/>
            <w:shd w:val="clear" w:color="auto" w:fill="auto"/>
          </w:tcPr>
          <w:p w:rsidR="005B5743" w:rsidRPr="00663610" w:rsidRDefault="00553EA9" w:rsidP="00157179">
            <w:pPr>
              <w:pStyle w:val="BodyText"/>
              <w:spacing w:line="235" w:lineRule="auto"/>
              <w:jc w:val="center"/>
              <w:rPr>
                <w:szCs w:val="22"/>
                <w:lang w:eastAsia="zh-CN"/>
              </w:rPr>
            </w:pPr>
            <w:r>
              <w:rPr>
                <w:szCs w:val="22"/>
                <w:lang w:eastAsia="zh-CN"/>
              </w:rPr>
              <w:t>5,547</w:t>
            </w:r>
          </w:p>
        </w:tc>
        <w:tc>
          <w:tcPr>
            <w:tcW w:w="1352" w:type="dxa"/>
            <w:shd w:val="clear" w:color="auto" w:fill="auto"/>
          </w:tcPr>
          <w:p w:rsidR="005B5743" w:rsidRPr="00663610" w:rsidRDefault="00553EA9" w:rsidP="00157179">
            <w:pPr>
              <w:pStyle w:val="BodyText"/>
              <w:spacing w:line="235" w:lineRule="auto"/>
              <w:jc w:val="center"/>
              <w:rPr>
                <w:szCs w:val="22"/>
                <w:lang w:eastAsia="zh-CN"/>
              </w:rPr>
            </w:pPr>
            <w:r>
              <w:rPr>
                <w:szCs w:val="22"/>
                <w:lang w:eastAsia="zh-CN"/>
              </w:rPr>
              <w:t>19.38</w:t>
            </w:r>
          </w:p>
        </w:tc>
      </w:tr>
      <w:tr w:rsidR="005B5743" w:rsidRPr="00663610" w:rsidTr="00157179">
        <w:tc>
          <w:tcPr>
            <w:tcW w:w="2790" w:type="dxa"/>
            <w:shd w:val="clear" w:color="auto" w:fill="auto"/>
          </w:tcPr>
          <w:p w:rsidR="005B5743" w:rsidRPr="00663610" w:rsidRDefault="005B5743" w:rsidP="00157179">
            <w:pPr>
              <w:pStyle w:val="BodyText"/>
              <w:spacing w:line="235" w:lineRule="auto"/>
              <w:rPr>
                <w:szCs w:val="22"/>
              </w:rPr>
            </w:pPr>
            <w:r w:rsidRPr="00663610">
              <w:rPr>
                <w:szCs w:val="22"/>
              </w:rPr>
              <w:t xml:space="preserve">Profit before tax </w:t>
            </w:r>
          </w:p>
        </w:tc>
        <w:tc>
          <w:tcPr>
            <w:tcW w:w="1710" w:type="dxa"/>
            <w:shd w:val="clear" w:color="auto" w:fill="auto"/>
          </w:tcPr>
          <w:p w:rsidR="005B5743" w:rsidRPr="00663610" w:rsidRDefault="00553EA9" w:rsidP="00D66FD8">
            <w:pPr>
              <w:pStyle w:val="BodyText"/>
              <w:tabs>
                <w:tab w:val="clear" w:pos="1080"/>
                <w:tab w:val="left" w:pos="1152"/>
              </w:tabs>
              <w:spacing w:line="235" w:lineRule="auto"/>
              <w:jc w:val="center"/>
              <w:rPr>
                <w:szCs w:val="22"/>
                <w:lang w:eastAsia="zh-CN"/>
              </w:rPr>
            </w:pPr>
            <w:r>
              <w:rPr>
                <w:szCs w:val="22"/>
                <w:lang w:eastAsia="zh-CN"/>
              </w:rPr>
              <w:t>3,51</w:t>
            </w:r>
            <w:r w:rsidR="00D66FD8">
              <w:rPr>
                <w:rFonts w:hint="eastAsia"/>
                <w:szCs w:val="22"/>
                <w:lang w:eastAsia="zh-CN"/>
              </w:rPr>
              <w:t>8</w:t>
            </w:r>
          </w:p>
        </w:tc>
        <w:tc>
          <w:tcPr>
            <w:tcW w:w="1890" w:type="dxa"/>
            <w:shd w:val="clear" w:color="auto" w:fill="auto"/>
          </w:tcPr>
          <w:p w:rsidR="005B5743" w:rsidRPr="00663610" w:rsidRDefault="00553EA9" w:rsidP="00553EA9">
            <w:pPr>
              <w:pStyle w:val="BodyText"/>
              <w:spacing w:line="235" w:lineRule="auto"/>
              <w:jc w:val="center"/>
              <w:rPr>
                <w:szCs w:val="22"/>
                <w:lang w:eastAsia="zh-CN"/>
              </w:rPr>
            </w:pPr>
            <w:r>
              <w:rPr>
                <w:szCs w:val="22"/>
                <w:lang w:eastAsia="zh-CN"/>
              </w:rPr>
              <w:t>2,012</w:t>
            </w:r>
          </w:p>
        </w:tc>
        <w:tc>
          <w:tcPr>
            <w:tcW w:w="1710" w:type="dxa"/>
            <w:shd w:val="clear" w:color="auto" w:fill="auto"/>
          </w:tcPr>
          <w:p w:rsidR="005B5743" w:rsidRPr="00663610" w:rsidRDefault="00553EA9" w:rsidP="00D66FD8">
            <w:pPr>
              <w:pStyle w:val="BodyText"/>
              <w:spacing w:line="235" w:lineRule="auto"/>
              <w:jc w:val="center"/>
              <w:rPr>
                <w:szCs w:val="22"/>
                <w:lang w:eastAsia="zh-CN"/>
              </w:rPr>
            </w:pPr>
            <w:r>
              <w:rPr>
                <w:szCs w:val="22"/>
                <w:lang w:eastAsia="zh-CN"/>
              </w:rPr>
              <w:t>1,50</w:t>
            </w:r>
            <w:r w:rsidR="00D66FD8">
              <w:rPr>
                <w:rFonts w:hint="eastAsia"/>
                <w:szCs w:val="22"/>
                <w:lang w:eastAsia="zh-CN"/>
              </w:rPr>
              <w:t>6</w:t>
            </w:r>
          </w:p>
        </w:tc>
        <w:tc>
          <w:tcPr>
            <w:tcW w:w="1352" w:type="dxa"/>
            <w:shd w:val="clear" w:color="auto" w:fill="auto"/>
          </w:tcPr>
          <w:p w:rsidR="005B5743" w:rsidRPr="00663610" w:rsidRDefault="00553EA9" w:rsidP="00D66FD8">
            <w:pPr>
              <w:pStyle w:val="BodyText"/>
              <w:spacing w:line="235" w:lineRule="auto"/>
              <w:jc w:val="center"/>
              <w:rPr>
                <w:szCs w:val="22"/>
                <w:lang w:eastAsia="zh-CN"/>
              </w:rPr>
            </w:pPr>
            <w:r>
              <w:rPr>
                <w:szCs w:val="22"/>
                <w:lang w:eastAsia="zh-CN"/>
              </w:rPr>
              <w:t>74.8</w:t>
            </w:r>
            <w:r w:rsidR="00D66FD8">
              <w:rPr>
                <w:rFonts w:hint="eastAsia"/>
                <w:szCs w:val="22"/>
                <w:lang w:eastAsia="zh-CN"/>
              </w:rPr>
              <w:t>5</w:t>
            </w:r>
          </w:p>
        </w:tc>
      </w:tr>
    </w:tbl>
    <w:p w:rsidR="005B5743" w:rsidRPr="00663610" w:rsidRDefault="005B5743" w:rsidP="005B5743">
      <w:pPr>
        <w:pStyle w:val="BodyText"/>
        <w:spacing w:line="235" w:lineRule="auto"/>
        <w:ind w:left="810"/>
        <w:rPr>
          <w:szCs w:val="22"/>
          <w:lang w:eastAsia="zh-CN"/>
        </w:rPr>
      </w:pPr>
      <w:r w:rsidRPr="00663610">
        <w:rPr>
          <w:rFonts w:hint="eastAsia"/>
          <w:szCs w:val="22"/>
          <w:lang w:eastAsia="zh-CN"/>
        </w:rPr>
        <w:tab/>
      </w:r>
    </w:p>
    <w:p w:rsidR="005B5743" w:rsidRPr="00663610" w:rsidRDefault="005B5743" w:rsidP="005B5743">
      <w:pPr>
        <w:pStyle w:val="BodyText"/>
        <w:spacing w:line="235" w:lineRule="auto"/>
        <w:ind w:left="720"/>
        <w:rPr>
          <w:szCs w:val="22"/>
          <w:lang w:eastAsia="zh-CN"/>
        </w:rPr>
      </w:pPr>
      <w:r w:rsidRPr="00663610">
        <w:rPr>
          <w:szCs w:val="22"/>
          <w:lang w:eastAsia="zh-CN"/>
        </w:rPr>
        <w:t>For</w:t>
      </w:r>
      <w:r w:rsidRPr="00663610">
        <w:rPr>
          <w:rFonts w:hint="eastAsia"/>
          <w:szCs w:val="22"/>
          <w:lang w:eastAsia="zh-CN"/>
        </w:rPr>
        <w:t xml:space="preserve"> the quarter ended </w:t>
      </w:r>
      <w:r>
        <w:rPr>
          <w:szCs w:val="22"/>
          <w:lang w:eastAsia="zh-CN"/>
        </w:rPr>
        <w:t xml:space="preserve">31 </w:t>
      </w:r>
      <w:r w:rsidR="00034CA1">
        <w:rPr>
          <w:szCs w:val="22"/>
          <w:lang w:eastAsia="zh-CN"/>
        </w:rPr>
        <w:t>March 2013</w:t>
      </w:r>
      <w:r w:rsidRPr="00663610">
        <w:rPr>
          <w:rFonts w:hint="eastAsia"/>
          <w:szCs w:val="22"/>
          <w:lang w:eastAsia="zh-CN"/>
        </w:rPr>
        <w:t>, the Group recorded revenue of RM</w:t>
      </w:r>
      <w:r w:rsidR="00034CA1">
        <w:rPr>
          <w:szCs w:val="22"/>
          <w:lang w:eastAsia="zh-CN"/>
        </w:rPr>
        <w:t>34.172</w:t>
      </w:r>
      <w:r w:rsidRPr="00663610">
        <w:rPr>
          <w:rFonts w:hint="eastAsia"/>
          <w:szCs w:val="22"/>
          <w:lang w:eastAsia="zh-CN"/>
        </w:rPr>
        <w:t xml:space="preserve"> million, an increase</w:t>
      </w:r>
      <w:r w:rsidRPr="00663610">
        <w:rPr>
          <w:szCs w:val="22"/>
          <w:lang w:eastAsia="zh-CN"/>
        </w:rPr>
        <w:t xml:space="preserve"> of</w:t>
      </w:r>
      <w:r w:rsidRPr="00663610">
        <w:rPr>
          <w:rFonts w:hint="eastAsia"/>
          <w:szCs w:val="22"/>
          <w:lang w:eastAsia="zh-CN"/>
        </w:rPr>
        <w:t xml:space="preserve"> RM</w:t>
      </w:r>
      <w:r w:rsidR="00034CA1">
        <w:rPr>
          <w:szCs w:val="22"/>
          <w:lang w:eastAsia="zh-CN"/>
        </w:rPr>
        <w:t>5.547</w:t>
      </w:r>
      <w:r w:rsidRPr="00663610">
        <w:rPr>
          <w:rFonts w:hint="eastAsia"/>
          <w:szCs w:val="22"/>
          <w:lang w:eastAsia="zh-CN"/>
        </w:rPr>
        <w:t xml:space="preserve"> million or </w:t>
      </w:r>
      <w:r w:rsidR="00034CA1">
        <w:rPr>
          <w:szCs w:val="22"/>
          <w:lang w:eastAsia="zh-CN"/>
        </w:rPr>
        <w:t>19.38</w:t>
      </w:r>
      <w:r w:rsidRPr="00663610">
        <w:rPr>
          <w:rFonts w:hint="eastAsia"/>
          <w:szCs w:val="22"/>
          <w:lang w:eastAsia="zh-CN"/>
        </w:rPr>
        <w:t>%</w:t>
      </w:r>
      <w:r w:rsidRPr="00663610">
        <w:rPr>
          <w:szCs w:val="22"/>
          <w:lang w:eastAsia="zh-CN"/>
        </w:rPr>
        <w:t xml:space="preserve"> as compared to revenue of</w:t>
      </w:r>
      <w:r w:rsidRPr="00663610">
        <w:rPr>
          <w:rFonts w:hint="eastAsia"/>
          <w:szCs w:val="22"/>
          <w:lang w:eastAsia="zh-CN"/>
        </w:rPr>
        <w:t xml:space="preserve"> RM</w:t>
      </w:r>
      <w:r w:rsidR="00034CA1">
        <w:rPr>
          <w:szCs w:val="22"/>
          <w:lang w:eastAsia="zh-CN"/>
        </w:rPr>
        <w:t>28.625</w:t>
      </w:r>
      <w:r w:rsidRPr="00663610">
        <w:rPr>
          <w:rFonts w:hint="eastAsia"/>
          <w:szCs w:val="22"/>
          <w:lang w:eastAsia="zh-CN"/>
        </w:rPr>
        <w:t xml:space="preserve"> million</w:t>
      </w:r>
      <w:r w:rsidRPr="00663610">
        <w:rPr>
          <w:szCs w:val="22"/>
          <w:lang w:eastAsia="zh-CN"/>
        </w:rPr>
        <w:t xml:space="preserve"> recorded</w:t>
      </w:r>
      <w:r w:rsidRPr="00663610">
        <w:rPr>
          <w:rFonts w:hint="eastAsia"/>
          <w:szCs w:val="22"/>
          <w:lang w:eastAsia="zh-CN"/>
        </w:rPr>
        <w:t xml:space="preserve"> for the </w:t>
      </w:r>
      <w:r>
        <w:rPr>
          <w:szCs w:val="22"/>
          <w:lang w:eastAsia="zh-CN"/>
        </w:rPr>
        <w:t>corresponding</w:t>
      </w:r>
      <w:r w:rsidRPr="00663610">
        <w:rPr>
          <w:rFonts w:hint="eastAsia"/>
          <w:szCs w:val="22"/>
          <w:lang w:eastAsia="zh-CN"/>
        </w:rPr>
        <w:t xml:space="preserve"> quarter ended </w:t>
      </w:r>
      <w:r>
        <w:rPr>
          <w:szCs w:val="22"/>
          <w:lang w:eastAsia="zh-CN"/>
        </w:rPr>
        <w:t xml:space="preserve">31 </w:t>
      </w:r>
      <w:r w:rsidR="00034CA1">
        <w:rPr>
          <w:szCs w:val="22"/>
          <w:lang w:eastAsia="zh-CN"/>
        </w:rPr>
        <w:t>March 2012</w:t>
      </w:r>
      <w:r w:rsidRPr="00663610">
        <w:rPr>
          <w:rFonts w:hint="eastAsia"/>
          <w:szCs w:val="22"/>
          <w:lang w:eastAsia="zh-CN"/>
        </w:rPr>
        <w:t xml:space="preserve">. The higher revenue was due mainly to the growth in sales volume </w:t>
      </w:r>
      <w:r w:rsidR="001D329D">
        <w:rPr>
          <w:rFonts w:hint="eastAsia"/>
          <w:szCs w:val="22"/>
          <w:lang w:eastAsia="zh-CN"/>
        </w:rPr>
        <w:t xml:space="preserve">coupled with higher </w:t>
      </w:r>
      <w:r w:rsidR="00D66FD8">
        <w:rPr>
          <w:rFonts w:hint="eastAsia"/>
          <w:szCs w:val="22"/>
          <w:lang w:eastAsia="zh-CN"/>
        </w:rPr>
        <w:t xml:space="preserve">selling price </w:t>
      </w:r>
      <w:r w:rsidRPr="00663610">
        <w:rPr>
          <w:szCs w:val="22"/>
          <w:lang w:eastAsia="zh-CN"/>
        </w:rPr>
        <w:t>for</w:t>
      </w:r>
      <w:r w:rsidRPr="00663610">
        <w:rPr>
          <w:rFonts w:hint="eastAsia"/>
          <w:szCs w:val="22"/>
          <w:lang w:eastAsia="zh-CN"/>
        </w:rPr>
        <w:t xml:space="preserve"> </w:t>
      </w:r>
      <w:r w:rsidRPr="00663610">
        <w:rPr>
          <w:szCs w:val="22"/>
          <w:lang w:eastAsia="zh-CN"/>
        </w:rPr>
        <w:t>polymeric</w:t>
      </w:r>
      <w:r w:rsidR="00D66FD8">
        <w:rPr>
          <w:rFonts w:hint="eastAsia"/>
          <w:szCs w:val="22"/>
          <w:lang w:eastAsia="zh-CN"/>
        </w:rPr>
        <w:t xml:space="preserve"> products.</w:t>
      </w:r>
      <w:r w:rsidRPr="00663610">
        <w:rPr>
          <w:rFonts w:hint="eastAsia"/>
          <w:szCs w:val="22"/>
          <w:lang w:eastAsia="zh-CN"/>
        </w:rPr>
        <w:t xml:space="preserve"> </w:t>
      </w:r>
    </w:p>
    <w:p w:rsidR="005B5743" w:rsidRPr="00663610" w:rsidRDefault="005B5743" w:rsidP="005B5743">
      <w:pPr>
        <w:pStyle w:val="BodyText"/>
        <w:spacing w:line="235" w:lineRule="auto"/>
        <w:ind w:left="720"/>
        <w:rPr>
          <w:szCs w:val="22"/>
          <w:lang w:eastAsia="zh-CN"/>
        </w:rPr>
      </w:pPr>
    </w:p>
    <w:p w:rsidR="005B5743" w:rsidRPr="00663610" w:rsidRDefault="005B5743" w:rsidP="005B5743">
      <w:pPr>
        <w:pStyle w:val="BodyText"/>
        <w:spacing w:line="235" w:lineRule="auto"/>
        <w:ind w:left="720"/>
        <w:rPr>
          <w:szCs w:val="22"/>
          <w:lang w:eastAsia="zh-CN"/>
        </w:rPr>
      </w:pPr>
      <w:r w:rsidRPr="00663610">
        <w:rPr>
          <w:szCs w:val="22"/>
          <w:lang w:eastAsia="zh-CN"/>
        </w:rPr>
        <w:t>T</w:t>
      </w:r>
      <w:r w:rsidRPr="00663610">
        <w:rPr>
          <w:rFonts w:hint="eastAsia"/>
          <w:szCs w:val="22"/>
          <w:lang w:eastAsia="zh-CN"/>
        </w:rPr>
        <w:t>he Group</w:t>
      </w:r>
      <w:r w:rsidRPr="00663610">
        <w:rPr>
          <w:szCs w:val="22"/>
          <w:lang w:eastAsia="zh-CN"/>
        </w:rPr>
        <w:t>’</w:t>
      </w:r>
      <w:r w:rsidRPr="00663610">
        <w:rPr>
          <w:rFonts w:hint="eastAsia"/>
          <w:szCs w:val="22"/>
          <w:lang w:eastAsia="zh-CN"/>
        </w:rPr>
        <w:t>s profit before tax</w:t>
      </w:r>
      <w:r w:rsidR="00157179">
        <w:rPr>
          <w:szCs w:val="22"/>
          <w:lang w:eastAsia="zh-CN"/>
        </w:rPr>
        <w:t xml:space="preserve"> for the quarter ended 31 </w:t>
      </w:r>
      <w:r w:rsidR="00034CA1">
        <w:rPr>
          <w:szCs w:val="22"/>
          <w:lang w:eastAsia="zh-CN"/>
        </w:rPr>
        <w:t>March 2013</w:t>
      </w:r>
      <w:r w:rsidRPr="00663610">
        <w:rPr>
          <w:rFonts w:hint="eastAsia"/>
          <w:szCs w:val="22"/>
          <w:lang w:eastAsia="zh-CN"/>
        </w:rPr>
        <w:t xml:space="preserve"> had </w:t>
      </w:r>
      <w:r w:rsidRPr="00663610">
        <w:rPr>
          <w:szCs w:val="22"/>
          <w:lang w:eastAsia="zh-CN"/>
        </w:rPr>
        <w:t>correspondingly</w:t>
      </w:r>
      <w:r w:rsidRPr="00663610">
        <w:rPr>
          <w:rFonts w:hint="eastAsia"/>
          <w:szCs w:val="22"/>
          <w:lang w:eastAsia="zh-CN"/>
        </w:rPr>
        <w:t xml:space="preserve"> increased </w:t>
      </w:r>
      <w:r w:rsidR="00CD2EAE">
        <w:rPr>
          <w:szCs w:val="22"/>
          <w:lang w:eastAsia="zh-CN"/>
        </w:rPr>
        <w:t>to</w:t>
      </w:r>
      <w:r w:rsidR="00D66FD8">
        <w:rPr>
          <w:rFonts w:hint="eastAsia"/>
          <w:szCs w:val="22"/>
          <w:lang w:eastAsia="zh-CN"/>
        </w:rPr>
        <w:t xml:space="preserve"> RM3.518 million or </w:t>
      </w:r>
      <w:r w:rsidR="00CD2EAE">
        <w:rPr>
          <w:szCs w:val="22"/>
          <w:lang w:eastAsia="zh-CN"/>
        </w:rPr>
        <w:t xml:space="preserve">an increase of </w:t>
      </w:r>
      <w:r w:rsidR="00D66FD8">
        <w:rPr>
          <w:rFonts w:hint="eastAsia"/>
          <w:szCs w:val="22"/>
          <w:lang w:eastAsia="zh-CN"/>
        </w:rPr>
        <w:t>74.85%</w:t>
      </w:r>
      <w:r w:rsidRPr="00663610">
        <w:rPr>
          <w:rFonts w:hint="eastAsia"/>
          <w:szCs w:val="22"/>
          <w:lang w:eastAsia="zh-CN"/>
        </w:rPr>
        <w:t xml:space="preserve"> as compared to the profit before tax of RM</w:t>
      </w:r>
      <w:r>
        <w:rPr>
          <w:szCs w:val="22"/>
          <w:lang w:eastAsia="zh-CN"/>
        </w:rPr>
        <w:t>2.</w:t>
      </w:r>
      <w:r w:rsidR="00AC27EC">
        <w:rPr>
          <w:rFonts w:hint="eastAsia"/>
          <w:szCs w:val="22"/>
          <w:lang w:eastAsia="zh-CN"/>
        </w:rPr>
        <w:t>012</w:t>
      </w:r>
      <w:r w:rsidRPr="00663610">
        <w:rPr>
          <w:rFonts w:hint="eastAsia"/>
          <w:szCs w:val="22"/>
          <w:lang w:eastAsia="zh-CN"/>
        </w:rPr>
        <w:t xml:space="preserve"> million recorded in the preceding financial year corresponding period</w:t>
      </w:r>
      <w:r w:rsidRPr="00663610">
        <w:rPr>
          <w:szCs w:val="22"/>
          <w:lang w:eastAsia="zh-CN"/>
        </w:rPr>
        <w:t xml:space="preserve"> due to the increase in revenue</w:t>
      </w:r>
      <w:r w:rsidR="00814ED4">
        <w:rPr>
          <w:rFonts w:hint="eastAsia"/>
          <w:szCs w:val="22"/>
          <w:lang w:eastAsia="zh-CN"/>
        </w:rPr>
        <w:t xml:space="preserve"> and </w:t>
      </w:r>
      <w:r w:rsidR="005066C1">
        <w:rPr>
          <w:rFonts w:hint="eastAsia"/>
          <w:szCs w:val="22"/>
          <w:lang w:eastAsia="zh-CN"/>
        </w:rPr>
        <w:t>imp</w:t>
      </w:r>
      <w:r w:rsidR="00AC27EC">
        <w:rPr>
          <w:rFonts w:hint="eastAsia"/>
          <w:szCs w:val="22"/>
          <w:lang w:eastAsia="zh-CN"/>
        </w:rPr>
        <w:t>rovement in gross profit margin</w:t>
      </w:r>
      <w:r w:rsidRPr="00663610">
        <w:rPr>
          <w:rFonts w:hint="eastAsia"/>
          <w:szCs w:val="22"/>
          <w:lang w:eastAsia="zh-CN"/>
        </w:rPr>
        <w:t xml:space="preserve">. </w:t>
      </w:r>
      <w:r w:rsidR="00CD2EAE">
        <w:rPr>
          <w:szCs w:val="22"/>
          <w:lang w:eastAsia="zh-CN"/>
        </w:rPr>
        <w:t>T</w:t>
      </w:r>
      <w:r w:rsidR="0098737E">
        <w:rPr>
          <w:rFonts w:hint="eastAsia"/>
          <w:szCs w:val="22"/>
          <w:lang w:eastAsia="zh-CN"/>
        </w:rPr>
        <w:t>here was a gain on</w:t>
      </w:r>
      <w:r w:rsidR="00AC27EC">
        <w:rPr>
          <w:rFonts w:hint="eastAsia"/>
          <w:szCs w:val="22"/>
          <w:lang w:eastAsia="zh-CN"/>
        </w:rPr>
        <w:t xml:space="preserve"> disposal of </w:t>
      </w:r>
      <w:r w:rsidR="000D660A">
        <w:rPr>
          <w:szCs w:val="22"/>
          <w:lang w:eastAsia="zh-CN"/>
        </w:rPr>
        <w:t xml:space="preserve">investment in </w:t>
      </w:r>
      <w:r w:rsidR="00686E4D">
        <w:rPr>
          <w:rFonts w:hint="eastAsia"/>
          <w:szCs w:val="22"/>
          <w:lang w:eastAsia="zh-CN"/>
        </w:rPr>
        <w:t xml:space="preserve">an </w:t>
      </w:r>
      <w:r w:rsidR="00AC27EC">
        <w:rPr>
          <w:rFonts w:hint="eastAsia"/>
          <w:szCs w:val="22"/>
          <w:lang w:eastAsia="zh-CN"/>
        </w:rPr>
        <w:t>associate</w:t>
      </w:r>
      <w:r w:rsidR="00CD2EAE">
        <w:rPr>
          <w:szCs w:val="22"/>
          <w:lang w:eastAsia="zh-CN"/>
        </w:rPr>
        <w:t xml:space="preserve"> of RM0.300 million,</w:t>
      </w:r>
      <w:r w:rsidR="005D325A">
        <w:rPr>
          <w:szCs w:val="22"/>
          <w:lang w:eastAsia="zh-CN"/>
        </w:rPr>
        <w:t xml:space="preserve"> </w:t>
      </w:r>
      <w:r w:rsidR="00F160A9">
        <w:rPr>
          <w:szCs w:val="22"/>
          <w:lang w:eastAsia="zh-CN"/>
        </w:rPr>
        <w:t xml:space="preserve">which was previously written off </w:t>
      </w:r>
      <w:r w:rsidR="00CD2EAE">
        <w:rPr>
          <w:szCs w:val="22"/>
          <w:lang w:eastAsia="zh-CN"/>
        </w:rPr>
        <w:t xml:space="preserve">in </w:t>
      </w:r>
      <w:r w:rsidR="0090410C">
        <w:rPr>
          <w:szCs w:val="22"/>
          <w:lang w:eastAsia="zh-CN"/>
        </w:rPr>
        <w:t>the</w:t>
      </w:r>
      <w:r w:rsidR="0090410C">
        <w:rPr>
          <w:rFonts w:hint="eastAsia"/>
          <w:szCs w:val="22"/>
          <w:lang w:eastAsia="zh-CN"/>
        </w:rPr>
        <w:t xml:space="preserve"> </w:t>
      </w:r>
      <w:r w:rsidR="00157179">
        <w:rPr>
          <w:szCs w:val="22"/>
          <w:lang w:eastAsia="zh-CN"/>
        </w:rPr>
        <w:t>previous year corresponding quarter.</w:t>
      </w:r>
    </w:p>
    <w:p w:rsidR="005B5743" w:rsidRPr="00663610" w:rsidRDefault="005B5743" w:rsidP="005B5743">
      <w:pPr>
        <w:pStyle w:val="BodyText"/>
        <w:spacing w:line="235" w:lineRule="auto"/>
        <w:ind w:left="720"/>
        <w:rPr>
          <w:szCs w:val="22"/>
          <w:lang w:eastAsia="zh-CN"/>
        </w:rPr>
      </w:pPr>
    </w:p>
    <w:p w:rsidR="005B5743" w:rsidRPr="00663610" w:rsidRDefault="005B5743" w:rsidP="005B5743">
      <w:pPr>
        <w:pStyle w:val="BodyText"/>
        <w:spacing w:line="235" w:lineRule="auto"/>
        <w:ind w:left="720"/>
        <w:rPr>
          <w:szCs w:val="22"/>
          <w:lang w:eastAsia="zh-CN"/>
        </w:rPr>
      </w:pPr>
      <w:r w:rsidRPr="00663610">
        <w:rPr>
          <w:rFonts w:hint="eastAsia"/>
          <w:szCs w:val="22"/>
          <w:lang w:eastAsia="zh-CN"/>
        </w:rPr>
        <w:t xml:space="preserve">Performance of the respective </w:t>
      </w:r>
      <w:r w:rsidRPr="00663610">
        <w:rPr>
          <w:szCs w:val="22"/>
          <w:lang w:eastAsia="zh-CN"/>
        </w:rPr>
        <w:t>operating</w:t>
      </w:r>
      <w:r w:rsidRPr="00663610">
        <w:rPr>
          <w:rFonts w:hint="eastAsia"/>
          <w:szCs w:val="22"/>
          <w:lang w:eastAsia="zh-CN"/>
        </w:rPr>
        <w:t xml:space="preserve"> business segments for the </w:t>
      </w:r>
      <w:r w:rsidRPr="00663610">
        <w:rPr>
          <w:szCs w:val="22"/>
          <w:lang w:eastAsia="zh-CN"/>
        </w:rPr>
        <w:t>current financial quarter</w:t>
      </w:r>
      <w:r w:rsidRPr="00663610">
        <w:rPr>
          <w:rFonts w:hint="eastAsia"/>
          <w:szCs w:val="22"/>
          <w:lang w:eastAsia="zh-CN"/>
        </w:rPr>
        <w:t xml:space="preserve"> as compared to the </w:t>
      </w:r>
      <w:r w:rsidRPr="00663610">
        <w:rPr>
          <w:szCs w:val="22"/>
          <w:lang w:eastAsia="zh-CN"/>
        </w:rPr>
        <w:t>previous year corresponding quarter</w:t>
      </w:r>
      <w:r w:rsidRPr="00663610">
        <w:rPr>
          <w:rFonts w:hint="eastAsia"/>
          <w:szCs w:val="22"/>
          <w:lang w:eastAsia="zh-CN"/>
        </w:rPr>
        <w:t xml:space="preserve"> is analysed as follow</w:t>
      </w:r>
      <w:r w:rsidRPr="00663610">
        <w:rPr>
          <w:szCs w:val="22"/>
          <w:lang w:eastAsia="zh-CN"/>
        </w:rPr>
        <w:t>s</w:t>
      </w:r>
      <w:r w:rsidRPr="00663610">
        <w:rPr>
          <w:rFonts w:hint="eastAsia"/>
          <w:szCs w:val="22"/>
          <w:lang w:eastAsia="zh-CN"/>
        </w:rPr>
        <w:t>:</w:t>
      </w:r>
    </w:p>
    <w:p w:rsidR="005B5743" w:rsidRPr="00663610" w:rsidRDefault="005B5743" w:rsidP="005B5743">
      <w:pPr>
        <w:pStyle w:val="BodyText"/>
        <w:spacing w:line="235" w:lineRule="auto"/>
        <w:ind w:left="720"/>
        <w:rPr>
          <w:szCs w:val="22"/>
          <w:lang w:eastAsia="zh-CN"/>
        </w:rPr>
      </w:pPr>
    </w:p>
    <w:p w:rsidR="005B5743" w:rsidRPr="00663610" w:rsidRDefault="005B5743" w:rsidP="005B5743">
      <w:pPr>
        <w:pStyle w:val="BlockText"/>
        <w:tabs>
          <w:tab w:val="left" w:pos="720"/>
          <w:tab w:val="left" w:pos="7470"/>
        </w:tabs>
        <w:ind w:left="720" w:right="0"/>
        <w:rPr>
          <w:sz w:val="22"/>
          <w:szCs w:val="22"/>
          <w:u w:val="single"/>
          <w:lang w:eastAsia="zh-CN"/>
        </w:rPr>
      </w:pPr>
      <w:r w:rsidRPr="00663610">
        <w:rPr>
          <w:rFonts w:hint="eastAsia"/>
          <w:sz w:val="22"/>
          <w:szCs w:val="22"/>
          <w:u w:val="single"/>
          <w:lang w:eastAsia="zh-CN"/>
        </w:rPr>
        <w:t>Polymeric division</w:t>
      </w:r>
    </w:p>
    <w:p w:rsidR="005B5743" w:rsidRPr="00663610" w:rsidRDefault="005B5743" w:rsidP="005B5743">
      <w:pPr>
        <w:pStyle w:val="BlockText"/>
        <w:tabs>
          <w:tab w:val="left" w:pos="720"/>
          <w:tab w:val="left" w:pos="7470"/>
        </w:tabs>
        <w:ind w:left="720" w:right="0"/>
        <w:rPr>
          <w:sz w:val="22"/>
          <w:szCs w:val="22"/>
          <w:lang w:eastAsia="zh-CN"/>
        </w:rPr>
      </w:pPr>
      <w:r w:rsidRPr="00663610">
        <w:rPr>
          <w:rFonts w:hint="eastAsia"/>
          <w:sz w:val="22"/>
          <w:szCs w:val="22"/>
          <w:lang w:eastAsia="zh-CN"/>
        </w:rPr>
        <w:t>The revenue of polymeric division had increased by RM</w:t>
      </w:r>
      <w:r>
        <w:rPr>
          <w:sz w:val="22"/>
          <w:szCs w:val="22"/>
          <w:lang w:eastAsia="zh-CN"/>
        </w:rPr>
        <w:t>5.</w:t>
      </w:r>
      <w:r w:rsidR="001C0231">
        <w:rPr>
          <w:sz w:val="22"/>
          <w:szCs w:val="22"/>
          <w:lang w:eastAsia="zh-CN"/>
        </w:rPr>
        <w:t>6</w:t>
      </w:r>
      <w:r w:rsidR="000D660A">
        <w:rPr>
          <w:sz w:val="22"/>
          <w:szCs w:val="22"/>
          <w:lang w:eastAsia="zh-CN"/>
        </w:rPr>
        <w:t>46</w:t>
      </w:r>
      <w:r w:rsidRPr="00663610">
        <w:rPr>
          <w:rFonts w:hint="eastAsia"/>
          <w:sz w:val="22"/>
          <w:szCs w:val="22"/>
          <w:lang w:eastAsia="zh-CN"/>
        </w:rPr>
        <w:t xml:space="preserve"> million, which was contributed </w:t>
      </w:r>
      <w:r w:rsidRPr="00663610">
        <w:rPr>
          <w:sz w:val="22"/>
          <w:szCs w:val="22"/>
          <w:lang w:eastAsia="zh-CN"/>
        </w:rPr>
        <w:t xml:space="preserve">mainly </w:t>
      </w:r>
      <w:r w:rsidRPr="00663610">
        <w:rPr>
          <w:rFonts w:hint="eastAsia"/>
          <w:sz w:val="22"/>
          <w:szCs w:val="22"/>
          <w:lang w:eastAsia="zh-CN"/>
        </w:rPr>
        <w:t xml:space="preserve">by the increase in </w:t>
      </w:r>
      <w:r w:rsidRPr="00663610">
        <w:rPr>
          <w:sz w:val="22"/>
          <w:szCs w:val="22"/>
          <w:lang w:eastAsia="zh-CN"/>
        </w:rPr>
        <w:t xml:space="preserve">sales </w:t>
      </w:r>
      <w:r w:rsidRPr="00663610">
        <w:rPr>
          <w:rFonts w:hint="eastAsia"/>
          <w:sz w:val="22"/>
          <w:szCs w:val="22"/>
          <w:lang w:eastAsia="zh-CN"/>
        </w:rPr>
        <w:t xml:space="preserve">volume </w:t>
      </w:r>
      <w:r w:rsidR="00F60BF7">
        <w:rPr>
          <w:rFonts w:hint="eastAsia"/>
          <w:sz w:val="22"/>
          <w:szCs w:val="22"/>
          <w:lang w:eastAsia="zh-CN"/>
        </w:rPr>
        <w:t>by 1,373 metric tonnes, coupled with higher profit margin for the products sold.</w:t>
      </w:r>
      <w:r w:rsidRPr="00663610">
        <w:rPr>
          <w:rFonts w:hint="eastAsia"/>
          <w:sz w:val="22"/>
          <w:szCs w:val="22"/>
          <w:lang w:eastAsia="zh-CN"/>
        </w:rPr>
        <w:t xml:space="preserve"> Similar</w:t>
      </w:r>
      <w:r>
        <w:rPr>
          <w:rFonts w:hint="eastAsia"/>
          <w:sz w:val="22"/>
          <w:szCs w:val="22"/>
          <w:lang w:eastAsia="zh-CN"/>
        </w:rPr>
        <w:t>l</w:t>
      </w:r>
      <w:r w:rsidRPr="00663610">
        <w:rPr>
          <w:rFonts w:hint="eastAsia"/>
          <w:sz w:val="22"/>
          <w:szCs w:val="22"/>
          <w:lang w:eastAsia="zh-CN"/>
        </w:rPr>
        <w:t xml:space="preserve">y, the profit before tax </w:t>
      </w:r>
      <w:r w:rsidRPr="00663610">
        <w:rPr>
          <w:sz w:val="22"/>
          <w:szCs w:val="22"/>
          <w:lang w:eastAsia="zh-CN"/>
        </w:rPr>
        <w:t>has</w:t>
      </w:r>
      <w:r w:rsidRPr="00663610">
        <w:rPr>
          <w:rFonts w:hint="eastAsia"/>
          <w:sz w:val="22"/>
          <w:szCs w:val="22"/>
          <w:lang w:eastAsia="zh-CN"/>
        </w:rPr>
        <w:t xml:space="preserve"> also increased by RM</w:t>
      </w:r>
      <w:r w:rsidR="001C0231">
        <w:rPr>
          <w:sz w:val="22"/>
          <w:szCs w:val="22"/>
          <w:lang w:eastAsia="zh-CN"/>
        </w:rPr>
        <w:t>1.087</w:t>
      </w:r>
      <w:r w:rsidR="000D660A">
        <w:rPr>
          <w:sz w:val="22"/>
          <w:szCs w:val="22"/>
          <w:lang w:eastAsia="zh-CN"/>
        </w:rPr>
        <w:t xml:space="preserve"> </w:t>
      </w:r>
      <w:r w:rsidRPr="00663610">
        <w:rPr>
          <w:rFonts w:hint="eastAsia"/>
          <w:sz w:val="22"/>
          <w:szCs w:val="22"/>
          <w:lang w:eastAsia="zh-CN"/>
        </w:rPr>
        <w:t>million due principally to the increase in revenue</w:t>
      </w:r>
      <w:r w:rsidR="00F60BF7">
        <w:rPr>
          <w:rFonts w:hint="eastAsia"/>
          <w:sz w:val="22"/>
          <w:szCs w:val="22"/>
          <w:lang w:eastAsia="zh-CN"/>
        </w:rPr>
        <w:t xml:space="preserve"> and profit margin</w:t>
      </w:r>
      <w:r w:rsidRPr="00663610">
        <w:rPr>
          <w:rFonts w:hint="eastAsia"/>
          <w:sz w:val="22"/>
          <w:szCs w:val="22"/>
          <w:lang w:eastAsia="zh-CN"/>
        </w:rPr>
        <w:t>.</w:t>
      </w:r>
    </w:p>
    <w:p w:rsidR="005B5743" w:rsidRPr="00663610" w:rsidRDefault="005B5743" w:rsidP="005B5743">
      <w:pPr>
        <w:pStyle w:val="BlockText"/>
        <w:tabs>
          <w:tab w:val="left" w:pos="720"/>
          <w:tab w:val="left" w:pos="7470"/>
        </w:tabs>
        <w:ind w:left="720" w:right="0"/>
        <w:rPr>
          <w:sz w:val="22"/>
          <w:szCs w:val="22"/>
          <w:lang w:eastAsia="zh-CN"/>
        </w:rPr>
      </w:pPr>
    </w:p>
    <w:p w:rsidR="005B5743" w:rsidRPr="00663610" w:rsidRDefault="005B5743" w:rsidP="005B5743">
      <w:pPr>
        <w:pStyle w:val="BlockText"/>
        <w:tabs>
          <w:tab w:val="left" w:pos="720"/>
          <w:tab w:val="left" w:pos="7470"/>
        </w:tabs>
        <w:ind w:left="720" w:right="0"/>
        <w:rPr>
          <w:sz w:val="22"/>
          <w:szCs w:val="22"/>
          <w:u w:val="single"/>
          <w:lang w:eastAsia="zh-CN"/>
        </w:rPr>
      </w:pPr>
      <w:r w:rsidRPr="00663610">
        <w:rPr>
          <w:rFonts w:hint="eastAsia"/>
          <w:sz w:val="22"/>
          <w:szCs w:val="22"/>
          <w:u w:val="single"/>
          <w:lang w:eastAsia="zh-CN"/>
        </w:rPr>
        <w:t>Oleochemical division</w:t>
      </w:r>
    </w:p>
    <w:p w:rsidR="00CC1C3F" w:rsidRDefault="005B5743" w:rsidP="005B5743">
      <w:pPr>
        <w:pStyle w:val="BlockText"/>
        <w:tabs>
          <w:tab w:val="left" w:pos="720"/>
          <w:tab w:val="left" w:pos="7470"/>
        </w:tabs>
        <w:ind w:left="720" w:right="0"/>
        <w:rPr>
          <w:sz w:val="22"/>
          <w:szCs w:val="22"/>
          <w:lang w:eastAsia="zh-CN"/>
        </w:rPr>
      </w:pPr>
      <w:r w:rsidRPr="00663610">
        <w:rPr>
          <w:rFonts w:hint="eastAsia"/>
          <w:sz w:val="22"/>
          <w:szCs w:val="22"/>
          <w:lang w:eastAsia="zh-CN"/>
        </w:rPr>
        <w:t xml:space="preserve">The revenue of oleochemical </w:t>
      </w:r>
      <w:r w:rsidRPr="00663610">
        <w:rPr>
          <w:sz w:val="22"/>
          <w:szCs w:val="22"/>
          <w:lang w:eastAsia="zh-CN"/>
        </w:rPr>
        <w:t>division</w:t>
      </w:r>
      <w:r w:rsidRPr="00663610">
        <w:rPr>
          <w:rFonts w:hint="eastAsia"/>
          <w:sz w:val="22"/>
          <w:szCs w:val="22"/>
          <w:lang w:eastAsia="zh-CN"/>
        </w:rPr>
        <w:t xml:space="preserve"> had </w:t>
      </w:r>
      <w:r w:rsidR="00884A2F">
        <w:rPr>
          <w:sz w:val="22"/>
          <w:szCs w:val="22"/>
          <w:lang w:eastAsia="zh-CN"/>
        </w:rPr>
        <w:t>de</w:t>
      </w:r>
      <w:r w:rsidRPr="00663610">
        <w:rPr>
          <w:rFonts w:hint="eastAsia"/>
          <w:sz w:val="22"/>
          <w:szCs w:val="22"/>
          <w:lang w:eastAsia="zh-CN"/>
        </w:rPr>
        <w:t xml:space="preserve">creased </w:t>
      </w:r>
      <w:r w:rsidR="00F7193D">
        <w:rPr>
          <w:rFonts w:hint="eastAsia"/>
          <w:sz w:val="22"/>
          <w:szCs w:val="22"/>
          <w:lang w:eastAsia="zh-CN"/>
        </w:rPr>
        <w:t xml:space="preserve">slightly </w:t>
      </w:r>
      <w:r w:rsidRPr="00663610">
        <w:rPr>
          <w:rFonts w:hint="eastAsia"/>
          <w:sz w:val="22"/>
          <w:szCs w:val="22"/>
          <w:lang w:eastAsia="zh-CN"/>
        </w:rPr>
        <w:t>by RM</w:t>
      </w:r>
      <w:r>
        <w:rPr>
          <w:sz w:val="22"/>
          <w:szCs w:val="22"/>
          <w:lang w:eastAsia="zh-CN"/>
        </w:rPr>
        <w:t>0</w:t>
      </w:r>
      <w:r w:rsidRPr="00663610">
        <w:rPr>
          <w:rFonts w:hint="eastAsia"/>
          <w:sz w:val="22"/>
          <w:szCs w:val="22"/>
          <w:lang w:eastAsia="zh-CN"/>
        </w:rPr>
        <w:t>.</w:t>
      </w:r>
      <w:r w:rsidR="00884A2F">
        <w:rPr>
          <w:sz w:val="22"/>
          <w:szCs w:val="22"/>
          <w:lang w:eastAsia="zh-CN"/>
        </w:rPr>
        <w:t>11</w:t>
      </w:r>
      <w:r w:rsidR="000D660A">
        <w:rPr>
          <w:sz w:val="22"/>
          <w:szCs w:val="22"/>
          <w:lang w:eastAsia="zh-CN"/>
        </w:rPr>
        <w:t>7</w:t>
      </w:r>
      <w:r w:rsidRPr="00663610">
        <w:rPr>
          <w:rFonts w:hint="eastAsia"/>
          <w:sz w:val="22"/>
          <w:szCs w:val="22"/>
          <w:lang w:eastAsia="zh-CN"/>
        </w:rPr>
        <w:t xml:space="preserve"> million</w:t>
      </w:r>
      <w:r w:rsidR="00F7193D">
        <w:rPr>
          <w:rFonts w:hint="eastAsia"/>
          <w:sz w:val="22"/>
          <w:szCs w:val="22"/>
          <w:lang w:eastAsia="zh-CN"/>
        </w:rPr>
        <w:t xml:space="preserve"> due mainly to the </w:t>
      </w:r>
      <w:r w:rsidR="0001465E">
        <w:rPr>
          <w:rFonts w:hint="eastAsia"/>
          <w:sz w:val="22"/>
          <w:szCs w:val="22"/>
          <w:lang w:eastAsia="zh-CN"/>
        </w:rPr>
        <w:t xml:space="preserve">decrease in selling price </w:t>
      </w:r>
      <w:r w:rsidR="000D660A">
        <w:rPr>
          <w:sz w:val="22"/>
          <w:szCs w:val="22"/>
          <w:lang w:eastAsia="zh-CN"/>
        </w:rPr>
        <w:t>despite</w:t>
      </w:r>
      <w:r w:rsidR="000D660A">
        <w:rPr>
          <w:rFonts w:hint="eastAsia"/>
          <w:sz w:val="22"/>
          <w:szCs w:val="22"/>
          <w:lang w:eastAsia="zh-CN"/>
        </w:rPr>
        <w:t xml:space="preserve"> </w:t>
      </w:r>
      <w:r w:rsidR="0001465E">
        <w:rPr>
          <w:rFonts w:hint="eastAsia"/>
          <w:sz w:val="22"/>
          <w:szCs w:val="22"/>
          <w:lang w:eastAsia="zh-CN"/>
        </w:rPr>
        <w:t>the</w:t>
      </w:r>
      <w:r w:rsidR="000D660A">
        <w:rPr>
          <w:sz w:val="22"/>
          <w:szCs w:val="22"/>
          <w:lang w:eastAsia="zh-CN"/>
        </w:rPr>
        <w:t xml:space="preserve"> increase in</w:t>
      </w:r>
      <w:r w:rsidR="0001465E">
        <w:rPr>
          <w:rFonts w:hint="eastAsia"/>
          <w:sz w:val="22"/>
          <w:szCs w:val="22"/>
          <w:lang w:eastAsia="zh-CN"/>
        </w:rPr>
        <w:t xml:space="preserve"> sales volume </w:t>
      </w:r>
      <w:r w:rsidR="00CC1C3F">
        <w:rPr>
          <w:rFonts w:hint="eastAsia"/>
          <w:sz w:val="22"/>
          <w:szCs w:val="22"/>
          <w:lang w:eastAsia="zh-CN"/>
        </w:rPr>
        <w:t>by 134 metric tonnes.</w:t>
      </w:r>
    </w:p>
    <w:p w:rsidR="00CC1C3F" w:rsidRDefault="00CC1C3F" w:rsidP="005B5743">
      <w:pPr>
        <w:pStyle w:val="BlockText"/>
        <w:tabs>
          <w:tab w:val="left" w:pos="720"/>
          <w:tab w:val="left" w:pos="7470"/>
        </w:tabs>
        <w:ind w:left="720" w:right="0"/>
        <w:rPr>
          <w:sz w:val="22"/>
          <w:szCs w:val="22"/>
          <w:lang w:eastAsia="zh-CN"/>
        </w:rPr>
      </w:pPr>
    </w:p>
    <w:p w:rsidR="005B5743" w:rsidRPr="00663610" w:rsidRDefault="00CC1C3F" w:rsidP="005B5743">
      <w:pPr>
        <w:pStyle w:val="BlockText"/>
        <w:tabs>
          <w:tab w:val="left" w:pos="720"/>
          <w:tab w:val="left" w:pos="7470"/>
        </w:tabs>
        <w:ind w:left="720" w:right="0"/>
        <w:rPr>
          <w:sz w:val="22"/>
          <w:szCs w:val="22"/>
          <w:lang w:eastAsia="zh-CN"/>
        </w:rPr>
      </w:pPr>
      <w:r>
        <w:rPr>
          <w:rFonts w:hint="eastAsia"/>
          <w:sz w:val="22"/>
          <w:szCs w:val="22"/>
          <w:lang w:eastAsia="zh-CN"/>
        </w:rPr>
        <w:t>However, t</w:t>
      </w:r>
      <w:r w:rsidR="0001465E">
        <w:rPr>
          <w:rFonts w:hint="eastAsia"/>
          <w:sz w:val="22"/>
          <w:szCs w:val="22"/>
          <w:lang w:eastAsia="zh-CN"/>
        </w:rPr>
        <w:t xml:space="preserve">he profit before tax </w:t>
      </w:r>
      <w:r w:rsidR="000D660A">
        <w:rPr>
          <w:sz w:val="22"/>
          <w:szCs w:val="22"/>
          <w:lang w:eastAsia="zh-CN"/>
        </w:rPr>
        <w:t>had increased by RM0.147 million due mainly to the improvement in gross profit margin for oleochemical products</w:t>
      </w:r>
      <w:r w:rsidR="0001465E">
        <w:rPr>
          <w:rFonts w:hint="eastAsia"/>
          <w:sz w:val="22"/>
          <w:szCs w:val="22"/>
          <w:lang w:eastAsia="zh-CN"/>
        </w:rPr>
        <w:t>.</w:t>
      </w:r>
    </w:p>
    <w:p w:rsidR="005B5743" w:rsidRPr="00663610" w:rsidRDefault="005B5743" w:rsidP="005B5743">
      <w:pPr>
        <w:pStyle w:val="BlockText"/>
        <w:tabs>
          <w:tab w:val="left" w:pos="720"/>
          <w:tab w:val="left" w:pos="7470"/>
        </w:tabs>
        <w:ind w:left="720" w:right="0"/>
        <w:rPr>
          <w:sz w:val="22"/>
          <w:szCs w:val="22"/>
          <w:lang w:eastAsia="zh-CN"/>
        </w:rPr>
      </w:pPr>
      <w:r w:rsidRPr="00663610">
        <w:rPr>
          <w:sz w:val="22"/>
          <w:szCs w:val="22"/>
          <w:lang w:eastAsia="zh-CN"/>
        </w:rPr>
        <w:t xml:space="preserve"> </w:t>
      </w:r>
    </w:p>
    <w:p w:rsidR="005B5743" w:rsidRPr="00663610" w:rsidRDefault="005B5743" w:rsidP="005B5743">
      <w:pPr>
        <w:pStyle w:val="BlockText"/>
        <w:tabs>
          <w:tab w:val="left" w:pos="720"/>
          <w:tab w:val="left" w:pos="7470"/>
        </w:tabs>
        <w:ind w:left="720" w:right="0"/>
        <w:rPr>
          <w:sz w:val="22"/>
          <w:szCs w:val="22"/>
          <w:u w:val="single"/>
          <w:lang w:eastAsia="zh-CN"/>
        </w:rPr>
      </w:pPr>
      <w:r w:rsidRPr="00663610">
        <w:rPr>
          <w:rFonts w:hint="eastAsia"/>
          <w:sz w:val="22"/>
          <w:szCs w:val="22"/>
          <w:u w:val="single"/>
          <w:lang w:eastAsia="zh-CN"/>
        </w:rPr>
        <w:t>Investment holding</w:t>
      </w:r>
    </w:p>
    <w:p w:rsidR="005B5743" w:rsidRDefault="00E2791E" w:rsidP="005B5743">
      <w:pPr>
        <w:pStyle w:val="BlockText"/>
        <w:tabs>
          <w:tab w:val="left" w:pos="720"/>
          <w:tab w:val="left" w:pos="7470"/>
        </w:tabs>
        <w:ind w:left="720" w:right="0"/>
        <w:rPr>
          <w:sz w:val="22"/>
          <w:szCs w:val="22"/>
          <w:lang w:eastAsia="zh-CN"/>
        </w:rPr>
      </w:pPr>
      <w:r>
        <w:rPr>
          <w:rFonts w:hint="eastAsia"/>
          <w:sz w:val="22"/>
          <w:szCs w:val="22"/>
          <w:lang w:eastAsia="zh-CN"/>
        </w:rPr>
        <w:t xml:space="preserve">The </w:t>
      </w:r>
      <w:r w:rsidR="0098737E">
        <w:rPr>
          <w:rFonts w:hint="eastAsia"/>
          <w:sz w:val="22"/>
          <w:szCs w:val="22"/>
          <w:lang w:eastAsia="zh-CN"/>
        </w:rPr>
        <w:t>loss before tax ha</w:t>
      </w:r>
      <w:r w:rsidR="000D660A">
        <w:rPr>
          <w:sz w:val="22"/>
          <w:szCs w:val="22"/>
          <w:lang w:eastAsia="zh-CN"/>
        </w:rPr>
        <w:t>d</w:t>
      </w:r>
      <w:r w:rsidR="0098737E">
        <w:rPr>
          <w:rFonts w:hint="eastAsia"/>
          <w:sz w:val="22"/>
          <w:szCs w:val="22"/>
          <w:lang w:eastAsia="zh-CN"/>
        </w:rPr>
        <w:t xml:space="preserve"> decreased by RM0.272 million</w:t>
      </w:r>
      <w:r>
        <w:rPr>
          <w:rFonts w:hint="eastAsia"/>
          <w:sz w:val="22"/>
          <w:szCs w:val="22"/>
          <w:lang w:eastAsia="zh-CN"/>
        </w:rPr>
        <w:t xml:space="preserve"> due mainly to the</w:t>
      </w:r>
      <w:r w:rsidR="0098737E">
        <w:rPr>
          <w:rFonts w:hint="eastAsia"/>
          <w:sz w:val="22"/>
          <w:szCs w:val="22"/>
          <w:lang w:eastAsia="zh-CN"/>
        </w:rPr>
        <w:t xml:space="preserve"> gain </w:t>
      </w:r>
      <w:r w:rsidR="000D660A">
        <w:rPr>
          <w:sz w:val="22"/>
          <w:szCs w:val="22"/>
          <w:lang w:eastAsia="zh-CN"/>
        </w:rPr>
        <w:t>on</w:t>
      </w:r>
      <w:r w:rsidR="0098737E">
        <w:rPr>
          <w:rFonts w:hint="eastAsia"/>
          <w:sz w:val="22"/>
          <w:szCs w:val="22"/>
          <w:lang w:eastAsia="zh-CN"/>
        </w:rPr>
        <w:t xml:space="preserve"> disposal of </w:t>
      </w:r>
      <w:r w:rsidR="000D660A">
        <w:rPr>
          <w:sz w:val="22"/>
          <w:szCs w:val="22"/>
          <w:lang w:eastAsia="zh-CN"/>
        </w:rPr>
        <w:t xml:space="preserve">investment in </w:t>
      </w:r>
      <w:r w:rsidR="0098737E">
        <w:rPr>
          <w:rFonts w:hint="eastAsia"/>
          <w:sz w:val="22"/>
          <w:szCs w:val="22"/>
          <w:lang w:eastAsia="zh-CN"/>
        </w:rPr>
        <w:t>an associate</w:t>
      </w:r>
      <w:r w:rsidR="004760DA">
        <w:rPr>
          <w:sz w:val="22"/>
          <w:szCs w:val="22"/>
          <w:lang w:eastAsia="zh-CN"/>
        </w:rPr>
        <w:t xml:space="preserve"> which was previously written off</w:t>
      </w:r>
      <w:r w:rsidR="005B5743" w:rsidRPr="00663610">
        <w:rPr>
          <w:rFonts w:hint="eastAsia"/>
          <w:sz w:val="22"/>
          <w:szCs w:val="22"/>
          <w:lang w:eastAsia="zh-CN"/>
        </w:rPr>
        <w:t xml:space="preserve">. </w:t>
      </w:r>
    </w:p>
    <w:p w:rsidR="008619E8" w:rsidRDefault="008619E8" w:rsidP="005B5743">
      <w:pPr>
        <w:pStyle w:val="BlockText"/>
        <w:tabs>
          <w:tab w:val="left" w:pos="720"/>
          <w:tab w:val="left" w:pos="7470"/>
        </w:tabs>
        <w:ind w:left="720" w:right="0"/>
        <w:rPr>
          <w:sz w:val="22"/>
          <w:szCs w:val="22"/>
          <w:lang w:eastAsia="zh-CN"/>
        </w:rPr>
      </w:pPr>
    </w:p>
    <w:p w:rsidR="005B5743" w:rsidRPr="00663610" w:rsidRDefault="005B5743" w:rsidP="005B5743">
      <w:pPr>
        <w:spacing w:line="235" w:lineRule="auto"/>
        <w:jc w:val="both"/>
        <w:rPr>
          <w:szCs w:val="22"/>
          <w:lang w:eastAsia="zh-CN"/>
        </w:rPr>
      </w:pPr>
      <w:r w:rsidRPr="00663610">
        <w:rPr>
          <w:szCs w:val="22"/>
          <w:lang w:eastAsia="zh-CN"/>
        </w:rPr>
        <w:br w:type="page"/>
      </w:r>
    </w:p>
    <w:p w:rsidR="005B5743" w:rsidRDefault="005B5743" w:rsidP="005B5743">
      <w:pPr>
        <w:tabs>
          <w:tab w:val="clear" w:pos="720"/>
          <w:tab w:val="clear" w:pos="1440"/>
        </w:tabs>
        <w:rPr>
          <w:szCs w:val="22"/>
          <w:lang w:eastAsia="zh-CN"/>
        </w:rPr>
      </w:pPr>
    </w:p>
    <w:p w:rsidR="005B5743" w:rsidRPr="00663610" w:rsidRDefault="005B5743" w:rsidP="005B5743">
      <w:pPr>
        <w:pStyle w:val="BlockText"/>
        <w:ind w:left="0" w:right="0"/>
        <w:rPr>
          <w:sz w:val="22"/>
          <w:szCs w:val="22"/>
        </w:rPr>
      </w:pPr>
      <w:r w:rsidRPr="00663610">
        <w:rPr>
          <w:sz w:val="22"/>
          <w:szCs w:val="22"/>
          <w:lang w:eastAsia="zh-CN"/>
        </w:rPr>
        <w:t xml:space="preserve"> </w:t>
      </w:r>
      <w:r w:rsidRPr="00663610">
        <w:rPr>
          <w:b/>
          <w:sz w:val="22"/>
          <w:szCs w:val="22"/>
        </w:rPr>
        <w:t>1</w:t>
      </w:r>
      <w:r w:rsidRPr="00663610">
        <w:rPr>
          <w:b/>
          <w:sz w:val="22"/>
          <w:szCs w:val="22"/>
          <w:lang w:eastAsia="zh-CN"/>
        </w:rPr>
        <w:t>6</w:t>
      </w:r>
      <w:r w:rsidRPr="00663610">
        <w:rPr>
          <w:b/>
          <w:sz w:val="22"/>
          <w:szCs w:val="22"/>
        </w:rPr>
        <w:t>.</w:t>
      </w:r>
      <w:r w:rsidRPr="00663610">
        <w:rPr>
          <w:b/>
          <w:sz w:val="22"/>
          <w:szCs w:val="22"/>
        </w:rPr>
        <w:tab/>
        <w:t xml:space="preserve">Material Changes in Profit Before Tax as Compared with the Immediate Preceding Quarter </w:t>
      </w:r>
    </w:p>
    <w:p w:rsidR="005B5743" w:rsidRPr="00663610" w:rsidRDefault="005B5743" w:rsidP="005B5743">
      <w:pPr>
        <w:pStyle w:val="BodyText"/>
        <w:spacing w:line="235" w:lineRule="auto"/>
        <w:ind w:left="720"/>
        <w:rPr>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1710"/>
        <w:gridCol w:w="1890"/>
        <w:gridCol w:w="1710"/>
        <w:gridCol w:w="1352"/>
      </w:tblGrid>
      <w:tr w:rsidR="005B5743" w:rsidRPr="00663610" w:rsidTr="00157179">
        <w:tc>
          <w:tcPr>
            <w:tcW w:w="2790" w:type="dxa"/>
            <w:tcBorders>
              <w:top w:val="single" w:sz="4" w:space="0" w:color="auto"/>
              <w:left w:val="single" w:sz="4" w:space="0" w:color="auto"/>
              <w:bottom w:val="nil"/>
              <w:right w:val="single" w:sz="4" w:space="0" w:color="auto"/>
            </w:tcBorders>
            <w:shd w:val="clear" w:color="auto" w:fill="auto"/>
          </w:tcPr>
          <w:p w:rsidR="005B5743" w:rsidRPr="00663610" w:rsidRDefault="005B5743" w:rsidP="00157179">
            <w:pPr>
              <w:pStyle w:val="BodyText"/>
              <w:spacing w:line="235" w:lineRule="auto"/>
              <w:rPr>
                <w:szCs w:val="22"/>
              </w:rPr>
            </w:pPr>
          </w:p>
        </w:tc>
        <w:tc>
          <w:tcPr>
            <w:tcW w:w="3600" w:type="dxa"/>
            <w:gridSpan w:val="2"/>
            <w:tcBorders>
              <w:left w:val="single" w:sz="4" w:space="0" w:color="auto"/>
            </w:tcBorders>
            <w:shd w:val="clear" w:color="auto" w:fill="auto"/>
          </w:tcPr>
          <w:p w:rsidR="005B5743" w:rsidRPr="00663610" w:rsidRDefault="005B5743" w:rsidP="00157179">
            <w:pPr>
              <w:pStyle w:val="BodyText"/>
              <w:spacing w:line="235" w:lineRule="auto"/>
              <w:jc w:val="center"/>
              <w:rPr>
                <w:szCs w:val="22"/>
              </w:rPr>
            </w:pPr>
            <w:r w:rsidRPr="00663610">
              <w:rPr>
                <w:b/>
                <w:bCs/>
                <w:szCs w:val="22"/>
              </w:rPr>
              <w:t>3 Months Ended</w:t>
            </w:r>
          </w:p>
        </w:tc>
        <w:tc>
          <w:tcPr>
            <w:tcW w:w="3062" w:type="dxa"/>
            <w:gridSpan w:val="2"/>
            <w:shd w:val="clear" w:color="auto" w:fill="auto"/>
          </w:tcPr>
          <w:p w:rsidR="005B5743" w:rsidRPr="00663610" w:rsidRDefault="005B5743" w:rsidP="00157179">
            <w:pPr>
              <w:pStyle w:val="BodyText"/>
              <w:spacing w:line="235" w:lineRule="auto"/>
              <w:jc w:val="center"/>
              <w:rPr>
                <w:b/>
                <w:bCs/>
                <w:szCs w:val="22"/>
              </w:rPr>
            </w:pPr>
            <w:r w:rsidRPr="00663610">
              <w:rPr>
                <w:b/>
                <w:bCs/>
                <w:szCs w:val="22"/>
              </w:rPr>
              <w:t>Deviation</w:t>
            </w:r>
          </w:p>
        </w:tc>
      </w:tr>
      <w:tr w:rsidR="005B5743" w:rsidRPr="00663610" w:rsidTr="00157179">
        <w:tc>
          <w:tcPr>
            <w:tcW w:w="2790" w:type="dxa"/>
            <w:tcBorders>
              <w:top w:val="nil"/>
              <w:left w:val="single" w:sz="4" w:space="0" w:color="auto"/>
              <w:bottom w:val="nil"/>
              <w:right w:val="single" w:sz="4" w:space="0" w:color="auto"/>
            </w:tcBorders>
            <w:shd w:val="clear" w:color="auto" w:fill="auto"/>
          </w:tcPr>
          <w:p w:rsidR="005B5743" w:rsidRPr="00663610" w:rsidRDefault="005B5743" w:rsidP="00157179">
            <w:pPr>
              <w:pStyle w:val="BodyText"/>
              <w:spacing w:line="235" w:lineRule="auto"/>
              <w:rPr>
                <w:szCs w:val="22"/>
              </w:rPr>
            </w:pPr>
          </w:p>
        </w:tc>
        <w:tc>
          <w:tcPr>
            <w:tcW w:w="1710" w:type="dxa"/>
            <w:tcBorders>
              <w:left w:val="single" w:sz="4" w:space="0" w:color="auto"/>
            </w:tcBorders>
            <w:shd w:val="clear" w:color="auto" w:fill="auto"/>
          </w:tcPr>
          <w:p w:rsidR="005B5743" w:rsidRPr="00663610" w:rsidRDefault="005B5743" w:rsidP="005946F4">
            <w:pPr>
              <w:pStyle w:val="BodyText"/>
              <w:tabs>
                <w:tab w:val="clear" w:pos="1080"/>
              </w:tabs>
              <w:spacing w:line="235" w:lineRule="auto"/>
              <w:jc w:val="center"/>
              <w:rPr>
                <w:b/>
                <w:bCs/>
                <w:szCs w:val="22"/>
                <w:lang w:eastAsia="zh-CN"/>
              </w:rPr>
            </w:pPr>
            <w:r>
              <w:rPr>
                <w:b/>
                <w:bCs/>
                <w:szCs w:val="22"/>
                <w:lang w:eastAsia="zh-CN"/>
              </w:rPr>
              <w:t>31.</w:t>
            </w:r>
            <w:r w:rsidR="005946F4">
              <w:rPr>
                <w:b/>
                <w:bCs/>
                <w:szCs w:val="22"/>
                <w:lang w:eastAsia="zh-CN"/>
              </w:rPr>
              <w:t>03</w:t>
            </w:r>
            <w:r>
              <w:rPr>
                <w:b/>
                <w:bCs/>
                <w:szCs w:val="22"/>
                <w:lang w:eastAsia="zh-CN"/>
              </w:rPr>
              <w:t>.2012</w:t>
            </w:r>
          </w:p>
        </w:tc>
        <w:tc>
          <w:tcPr>
            <w:tcW w:w="1890" w:type="dxa"/>
            <w:shd w:val="clear" w:color="auto" w:fill="auto"/>
          </w:tcPr>
          <w:p w:rsidR="005B5743" w:rsidRPr="00663610" w:rsidRDefault="005946F4" w:rsidP="00157179">
            <w:pPr>
              <w:pStyle w:val="BodyText"/>
              <w:tabs>
                <w:tab w:val="clear" w:pos="1080"/>
              </w:tabs>
              <w:spacing w:line="235" w:lineRule="auto"/>
              <w:jc w:val="center"/>
              <w:rPr>
                <w:b/>
                <w:bCs/>
                <w:szCs w:val="22"/>
                <w:lang w:eastAsia="zh-CN"/>
              </w:rPr>
            </w:pPr>
            <w:r>
              <w:rPr>
                <w:b/>
                <w:bCs/>
                <w:szCs w:val="22"/>
                <w:lang w:eastAsia="zh-CN"/>
              </w:rPr>
              <w:t>31.12.2012</w:t>
            </w:r>
          </w:p>
        </w:tc>
        <w:tc>
          <w:tcPr>
            <w:tcW w:w="1710" w:type="dxa"/>
            <w:shd w:val="clear" w:color="auto" w:fill="auto"/>
          </w:tcPr>
          <w:p w:rsidR="005B5743" w:rsidRPr="00663610" w:rsidRDefault="005B5743" w:rsidP="00157179">
            <w:pPr>
              <w:pStyle w:val="BodyText"/>
              <w:tabs>
                <w:tab w:val="clear" w:pos="1080"/>
              </w:tabs>
              <w:spacing w:line="235" w:lineRule="auto"/>
              <w:jc w:val="center"/>
              <w:rPr>
                <w:b/>
                <w:bCs/>
                <w:iCs/>
                <w:szCs w:val="22"/>
              </w:rPr>
            </w:pPr>
            <w:r w:rsidRPr="00663610">
              <w:rPr>
                <w:b/>
                <w:bCs/>
                <w:iCs/>
                <w:szCs w:val="22"/>
              </w:rPr>
              <w:t>Amount</w:t>
            </w:r>
          </w:p>
        </w:tc>
        <w:tc>
          <w:tcPr>
            <w:tcW w:w="1352" w:type="dxa"/>
            <w:vMerge w:val="restart"/>
            <w:shd w:val="clear" w:color="auto" w:fill="auto"/>
            <w:vAlign w:val="center"/>
          </w:tcPr>
          <w:p w:rsidR="005B5743" w:rsidRPr="00663610" w:rsidRDefault="005B5743" w:rsidP="00157179">
            <w:pPr>
              <w:pStyle w:val="BodyText"/>
              <w:spacing w:line="235" w:lineRule="auto"/>
              <w:jc w:val="center"/>
              <w:rPr>
                <w:b/>
                <w:bCs/>
                <w:iCs/>
                <w:szCs w:val="22"/>
              </w:rPr>
            </w:pPr>
            <w:r w:rsidRPr="00663610">
              <w:rPr>
                <w:b/>
                <w:bCs/>
                <w:iCs/>
                <w:szCs w:val="22"/>
              </w:rPr>
              <w:t>%</w:t>
            </w:r>
          </w:p>
        </w:tc>
      </w:tr>
      <w:tr w:rsidR="005B5743" w:rsidRPr="00663610" w:rsidTr="00157179">
        <w:tc>
          <w:tcPr>
            <w:tcW w:w="2790" w:type="dxa"/>
            <w:tcBorders>
              <w:top w:val="nil"/>
              <w:left w:val="single" w:sz="4" w:space="0" w:color="auto"/>
              <w:bottom w:val="single" w:sz="4" w:space="0" w:color="auto"/>
              <w:right w:val="single" w:sz="4" w:space="0" w:color="auto"/>
            </w:tcBorders>
            <w:shd w:val="clear" w:color="auto" w:fill="auto"/>
          </w:tcPr>
          <w:p w:rsidR="005B5743" w:rsidRPr="00663610" w:rsidRDefault="005B5743" w:rsidP="00157179">
            <w:pPr>
              <w:pStyle w:val="BodyText"/>
              <w:spacing w:line="235" w:lineRule="auto"/>
              <w:rPr>
                <w:szCs w:val="22"/>
              </w:rPr>
            </w:pPr>
          </w:p>
        </w:tc>
        <w:tc>
          <w:tcPr>
            <w:tcW w:w="1710" w:type="dxa"/>
            <w:tcBorders>
              <w:left w:val="single" w:sz="4" w:space="0" w:color="auto"/>
            </w:tcBorders>
            <w:shd w:val="clear" w:color="auto" w:fill="auto"/>
          </w:tcPr>
          <w:p w:rsidR="005B5743" w:rsidRPr="00663610" w:rsidRDefault="005B5743" w:rsidP="00157179">
            <w:pPr>
              <w:pStyle w:val="BodyText"/>
              <w:spacing w:line="235" w:lineRule="auto"/>
              <w:jc w:val="center"/>
              <w:rPr>
                <w:b/>
                <w:szCs w:val="22"/>
              </w:rPr>
            </w:pPr>
            <w:r w:rsidRPr="00663610">
              <w:rPr>
                <w:b/>
                <w:szCs w:val="22"/>
              </w:rPr>
              <w:t>RM’000</w:t>
            </w:r>
          </w:p>
        </w:tc>
        <w:tc>
          <w:tcPr>
            <w:tcW w:w="1890" w:type="dxa"/>
            <w:shd w:val="clear" w:color="auto" w:fill="auto"/>
          </w:tcPr>
          <w:p w:rsidR="005B5743" w:rsidRPr="00663610" w:rsidRDefault="005B5743" w:rsidP="00157179">
            <w:pPr>
              <w:pStyle w:val="BodyText"/>
              <w:spacing w:line="235" w:lineRule="auto"/>
              <w:jc w:val="center"/>
              <w:rPr>
                <w:b/>
                <w:szCs w:val="22"/>
              </w:rPr>
            </w:pPr>
            <w:r w:rsidRPr="00663610">
              <w:rPr>
                <w:b/>
                <w:szCs w:val="22"/>
              </w:rPr>
              <w:t>RM’000</w:t>
            </w:r>
          </w:p>
        </w:tc>
        <w:tc>
          <w:tcPr>
            <w:tcW w:w="1710" w:type="dxa"/>
            <w:shd w:val="clear" w:color="auto" w:fill="auto"/>
          </w:tcPr>
          <w:p w:rsidR="005B5743" w:rsidRPr="00663610" w:rsidRDefault="005B5743" w:rsidP="00157179">
            <w:pPr>
              <w:pStyle w:val="BodyText"/>
              <w:spacing w:line="235" w:lineRule="auto"/>
              <w:jc w:val="center"/>
              <w:rPr>
                <w:b/>
                <w:szCs w:val="22"/>
              </w:rPr>
            </w:pPr>
            <w:r w:rsidRPr="00663610">
              <w:rPr>
                <w:b/>
                <w:szCs w:val="22"/>
              </w:rPr>
              <w:t>RM’000</w:t>
            </w:r>
          </w:p>
        </w:tc>
        <w:tc>
          <w:tcPr>
            <w:tcW w:w="1352" w:type="dxa"/>
            <w:vMerge/>
            <w:shd w:val="clear" w:color="auto" w:fill="auto"/>
          </w:tcPr>
          <w:p w:rsidR="005B5743" w:rsidRPr="00663610" w:rsidRDefault="005B5743" w:rsidP="00157179">
            <w:pPr>
              <w:pStyle w:val="BodyText"/>
              <w:spacing w:line="235" w:lineRule="auto"/>
              <w:jc w:val="center"/>
              <w:rPr>
                <w:szCs w:val="22"/>
              </w:rPr>
            </w:pPr>
          </w:p>
        </w:tc>
      </w:tr>
      <w:tr w:rsidR="005B5743" w:rsidRPr="00663610" w:rsidTr="00157179">
        <w:tc>
          <w:tcPr>
            <w:tcW w:w="2790" w:type="dxa"/>
            <w:tcBorders>
              <w:top w:val="single" w:sz="4" w:space="0" w:color="auto"/>
            </w:tcBorders>
            <w:shd w:val="clear" w:color="auto" w:fill="auto"/>
          </w:tcPr>
          <w:p w:rsidR="005B5743" w:rsidRPr="00663610" w:rsidRDefault="005B5743" w:rsidP="00157179">
            <w:pPr>
              <w:pStyle w:val="BodyText"/>
              <w:spacing w:line="235" w:lineRule="auto"/>
              <w:rPr>
                <w:szCs w:val="22"/>
              </w:rPr>
            </w:pPr>
            <w:r w:rsidRPr="00663610">
              <w:rPr>
                <w:szCs w:val="22"/>
              </w:rPr>
              <w:t>Revenue</w:t>
            </w:r>
          </w:p>
        </w:tc>
        <w:tc>
          <w:tcPr>
            <w:tcW w:w="1710" w:type="dxa"/>
            <w:shd w:val="clear" w:color="auto" w:fill="auto"/>
          </w:tcPr>
          <w:p w:rsidR="005B5743" w:rsidRPr="00663610" w:rsidRDefault="005946F4" w:rsidP="00157179">
            <w:pPr>
              <w:pStyle w:val="BodyText"/>
              <w:spacing w:line="235" w:lineRule="auto"/>
              <w:jc w:val="center"/>
              <w:rPr>
                <w:szCs w:val="22"/>
                <w:lang w:eastAsia="zh-CN"/>
              </w:rPr>
            </w:pPr>
            <w:r>
              <w:rPr>
                <w:szCs w:val="22"/>
                <w:lang w:eastAsia="zh-CN"/>
              </w:rPr>
              <w:t>34,172</w:t>
            </w:r>
          </w:p>
        </w:tc>
        <w:tc>
          <w:tcPr>
            <w:tcW w:w="1890" w:type="dxa"/>
            <w:shd w:val="clear" w:color="auto" w:fill="auto"/>
          </w:tcPr>
          <w:p w:rsidR="005B5743" w:rsidRPr="00663610" w:rsidRDefault="005946F4" w:rsidP="00157179">
            <w:pPr>
              <w:pStyle w:val="BodyText"/>
              <w:spacing w:line="235" w:lineRule="auto"/>
              <w:jc w:val="center"/>
              <w:rPr>
                <w:szCs w:val="22"/>
                <w:lang w:eastAsia="zh-CN"/>
              </w:rPr>
            </w:pPr>
            <w:r>
              <w:rPr>
                <w:szCs w:val="22"/>
                <w:lang w:eastAsia="zh-CN"/>
              </w:rPr>
              <w:t>32,833</w:t>
            </w:r>
          </w:p>
        </w:tc>
        <w:tc>
          <w:tcPr>
            <w:tcW w:w="1710" w:type="dxa"/>
            <w:shd w:val="clear" w:color="auto" w:fill="auto"/>
          </w:tcPr>
          <w:p w:rsidR="005B5743" w:rsidRPr="00663610" w:rsidRDefault="005946F4" w:rsidP="00E00A1A">
            <w:pPr>
              <w:pStyle w:val="BodyText"/>
              <w:spacing w:line="235" w:lineRule="auto"/>
              <w:jc w:val="center"/>
              <w:rPr>
                <w:szCs w:val="22"/>
                <w:lang w:eastAsia="zh-CN"/>
              </w:rPr>
            </w:pPr>
            <w:r>
              <w:rPr>
                <w:szCs w:val="22"/>
                <w:lang w:eastAsia="zh-CN"/>
              </w:rPr>
              <w:t>1,339</w:t>
            </w:r>
          </w:p>
        </w:tc>
        <w:tc>
          <w:tcPr>
            <w:tcW w:w="1352" w:type="dxa"/>
            <w:shd w:val="clear" w:color="auto" w:fill="auto"/>
          </w:tcPr>
          <w:p w:rsidR="005B5743" w:rsidRPr="00663610" w:rsidRDefault="005946F4" w:rsidP="00E00A1A">
            <w:pPr>
              <w:pStyle w:val="BodyText"/>
              <w:spacing w:line="235" w:lineRule="auto"/>
              <w:jc w:val="center"/>
              <w:rPr>
                <w:szCs w:val="22"/>
                <w:lang w:eastAsia="zh-CN"/>
              </w:rPr>
            </w:pPr>
            <w:r>
              <w:rPr>
                <w:szCs w:val="22"/>
                <w:lang w:eastAsia="zh-CN"/>
              </w:rPr>
              <w:t>4.08</w:t>
            </w:r>
          </w:p>
        </w:tc>
      </w:tr>
      <w:tr w:rsidR="005B5743" w:rsidRPr="00663610" w:rsidTr="00157179">
        <w:tc>
          <w:tcPr>
            <w:tcW w:w="2790" w:type="dxa"/>
            <w:shd w:val="clear" w:color="auto" w:fill="auto"/>
          </w:tcPr>
          <w:p w:rsidR="005B5743" w:rsidRPr="00663610" w:rsidRDefault="005B5743" w:rsidP="00157179">
            <w:pPr>
              <w:pStyle w:val="BodyText"/>
              <w:spacing w:line="235" w:lineRule="auto"/>
              <w:rPr>
                <w:szCs w:val="22"/>
              </w:rPr>
            </w:pPr>
            <w:r w:rsidRPr="00663610">
              <w:rPr>
                <w:szCs w:val="22"/>
              </w:rPr>
              <w:t xml:space="preserve">Profit before tax </w:t>
            </w:r>
          </w:p>
        </w:tc>
        <w:tc>
          <w:tcPr>
            <w:tcW w:w="1710" w:type="dxa"/>
            <w:shd w:val="clear" w:color="auto" w:fill="auto"/>
          </w:tcPr>
          <w:p w:rsidR="005B5743" w:rsidRPr="00663610" w:rsidRDefault="005946F4" w:rsidP="00157179">
            <w:pPr>
              <w:pStyle w:val="BodyText"/>
              <w:tabs>
                <w:tab w:val="clear" w:pos="1080"/>
                <w:tab w:val="left" w:pos="1152"/>
              </w:tabs>
              <w:spacing w:line="235" w:lineRule="auto"/>
              <w:jc w:val="center"/>
              <w:rPr>
                <w:szCs w:val="22"/>
                <w:lang w:eastAsia="zh-CN"/>
              </w:rPr>
            </w:pPr>
            <w:r>
              <w:rPr>
                <w:szCs w:val="22"/>
                <w:lang w:eastAsia="zh-CN"/>
              </w:rPr>
              <w:t>3,51</w:t>
            </w:r>
            <w:r w:rsidR="00BF36BC">
              <w:rPr>
                <w:rFonts w:hint="eastAsia"/>
                <w:szCs w:val="22"/>
                <w:lang w:eastAsia="zh-CN"/>
              </w:rPr>
              <w:t>8</w:t>
            </w:r>
          </w:p>
        </w:tc>
        <w:tc>
          <w:tcPr>
            <w:tcW w:w="1890" w:type="dxa"/>
            <w:shd w:val="clear" w:color="auto" w:fill="auto"/>
          </w:tcPr>
          <w:p w:rsidR="005B5743" w:rsidRPr="00663610" w:rsidRDefault="005946F4" w:rsidP="00157179">
            <w:pPr>
              <w:pStyle w:val="BodyText"/>
              <w:tabs>
                <w:tab w:val="clear" w:pos="1080"/>
                <w:tab w:val="left" w:pos="1152"/>
              </w:tabs>
              <w:spacing w:line="235" w:lineRule="auto"/>
              <w:jc w:val="center"/>
              <w:rPr>
                <w:szCs w:val="22"/>
                <w:lang w:eastAsia="zh-CN"/>
              </w:rPr>
            </w:pPr>
            <w:r>
              <w:rPr>
                <w:szCs w:val="22"/>
                <w:lang w:eastAsia="zh-CN"/>
              </w:rPr>
              <w:t>2,875</w:t>
            </w:r>
          </w:p>
        </w:tc>
        <w:tc>
          <w:tcPr>
            <w:tcW w:w="1710" w:type="dxa"/>
            <w:shd w:val="clear" w:color="auto" w:fill="auto"/>
          </w:tcPr>
          <w:p w:rsidR="005B5743" w:rsidRPr="00663610" w:rsidRDefault="005946F4" w:rsidP="00157179">
            <w:pPr>
              <w:pStyle w:val="BodyText"/>
              <w:spacing w:line="235" w:lineRule="auto"/>
              <w:jc w:val="center"/>
              <w:rPr>
                <w:szCs w:val="22"/>
                <w:lang w:eastAsia="zh-CN"/>
              </w:rPr>
            </w:pPr>
            <w:r>
              <w:rPr>
                <w:szCs w:val="22"/>
                <w:lang w:eastAsia="zh-CN"/>
              </w:rPr>
              <w:t>64</w:t>
            </w:r>
            <w:r w:rsidR="00BF36BC">
              <w:rPr>
                <w:rFonts w:hint="eastAsia"/>
                <w:szCs w:val="22"/>
                <w:lang w:eastAsia="zh-CN"/>
              </w:rPr>
              <w:t>3</w:t>
            </w:r>
          </w:p>
        </w:tc>
        <w:tc>
          <w:tcPr>
            <w:tcW w:w="1352" w:type="dxa"/>
            <w:shd w:val="clear" w:color="auto" w:fill="auto"/>
          </w:tcPr>
          <w:p w:rsidR="005B5743" w:rsidRPr="00663610" w:rsidRDefault="005946F4" w:rsidP="00157179">
            <w:pPr>
              <w:pStyle w:val="BodyText"/>
              <w:spacing w:line="235" w:lineRule="auto"/>
              <w:jc w:val="center"/>
              <w:rPr>
                <w:szCs w:val="22"/>
                <w:lang w:eastAsia="zh-CN"/>
              </w:rPr>
            </w:pPr>
            <w:r>
              <w:rPr>
                <w:szCs w:val="22"/>
                <w:lang w:eastAsia="zh-CN"/>
              </w:rPr>
              <w:t>22.3</w:t>
            </w:r>
            <w:r w:rsidR="00BF36BC">
              <w:rPr>
                <w:rFonts w:hint="eastAsia"/>
                <w:szCs w:val="22"/>
                <w:lang w:eastAsia="zh-CN"/>
              </w:rPr>
              <w:t>7</w:t>
            </w:r>
          </w:p>
        </w:tc>
      </w:tr>
    </w:tbl>
    <w:p w:rsidR="005B5743" w:rsidRPr="00663610" w:rsidRDefault="005B5743" w:rsidP="005B5743">
      <w:pPr>
        <w:pStyle w:val="Heading2"/>
        <w:spacing w:line="235" w:lineRule="auto"/>
        <w:ind w:left="720"/>
        <w:rPr>
          <w:sz w:val="22"/>
          <w:szCs w:val="22"/>
          <w:lang w:eastAsia="zh-CN"/>
        </w:rPr>
      </w:pPr>
    </w:p>
    <w:p w:rsidR="005B5743" w:rsidRDefault="005B5743" w:rsidP="005B5743">
      <w:pPr>
        <w:ind w:left="720"/>
        <w:jc w:val="both"/>
        <w:rPr>
          <w:szCs w:val="22"/>
          <w:lang w:eastAsia="zh-CN"/>
        </w:rPr>
      </w:pPr>
      <w:r w:rsidRPr="00663610">
        <w:rPr>
          <w:rFonts w:hint="eastAsia"/>
          <w:szCs w:val="22"/>
          <w:lang w:eastAsia="zh-CN"/>
        </w:rPr>
        <w:t>The Group</w:t>
      </w:r>
      <w:r w:rsidRPr="00663610">
        <w:rPr>
          <w:szCs w:val="22"/>
          <w:lang w:eastAsia="zh-CN"/>
        </w:rPr>
        <w:t>’</w:t>
      </w:r>
      <w:r w:rsidRPr="00663610">
        <w:rPr>
          <w:rFonts w:hint="eastAsia"/>
          <w:szCs w:val="22"/>
          <w:lang w:eastAsia="zh-CN"/>
        </w:rPr>
        <w:t>s profit before tax of RM</w:t>
      </w:r>
      <w:r w:rsidR="003230B8">
        <w:rPr>
          <w:szCs w:val="22"/>
          <w:lang w:eastAsia="zh-CN"/>
        </w:rPr>
        <w:t>3.51</w:t>
      </w:r>
      <w:r w:rsidR="00BF36BC">
        <w:rPr>
          <w:rFonts w:hint="eastAsia"/>
          <w:szCs w:val="22"/>
          <w:lang w:eastAsia="zh-CN"/>
        </w:rPr>
        <w:t>8</w:t>
      </w:r>
      <w:r w:rsidRPr="00663610">
        <w:rPr>
          <w:rFonts w:hint="eastAsia"/>
          <w:szCs w:val="22"/>
          <w:lang w:eastAsia="zh-CN"/>
        </w:rPr>
        <w:t xml:space="preserve"> million for the </w:t>
      </w:r>
      <w:r w:rsidR="003230B8">
        <w:rPr>
          <w:szCs w:val="22"/>
          <w:lang w:eastAsia="zh-CN"/>
        </w:rPr>
        <w:t>first</w:t>
      </w:r>
      <w:r w:rsidRPr="00663610">
        <w:rPr>
          <w:rFonts w:hint="eastAsia"/>
          <w:szCs w:val="22"/>
          <w:lang w:eastAsia="zh-CN"/>
        </w:rPr>
        <w:t xml:space="preserve"> quarter ended </w:t>
      </w:r>
      <w:r>
        <w:rPr>
          <w:szCs w:val="22"/>
          <w:lang w:eastAsia="zh-CN"/>
        </w:rPr>
        <w:t xml:space="preserve">31 </w:t>
      </w:r>
      <w:r w:rsidR="003230B8">
        <w:rPr>
          <w:szCs w:val="22"/>
          <w:lang w:eastAsia="zh-CN"/>
        </w:rPr>
        <w:t>March 2013</w:t>
      </w:r>
      <w:r w:rsidR="003230B8" w:rsidRPr="00663610">
        <w:rPr>
          <w:rFonts w:hint="eastAsia"/>
          <w:szCs w:val="22"/>
          <w:lang w:eastAsia="zh-CN"/>
        </w:rPr>
        <w:t xml:space="preserve"> </w:t>
      </w:r>
      <w:r w:rsidRPr="00663610">
        <w:rPr>
          <w:rFonts w:hint="eastAsia"/>
          <w:szCs w:val="22"/>
          <w:lang w:eastAsia="zh-CN"/>
        </w:rPr>
        <w:t>shows an increase of RM</w:t>
      </w:r>
      <w:r>
        <w:rPr>
          <w:szCs w:val="22"/>
          <w:lang w:eastAsia="zh-CN"/>
        </w:rPr>
        <w:t>0.</w:t>
      </w:r>
      <w:r w:rsidR="003230B8">
        <w:rPr>
          <w:szCs w:val="22"/>
          <w:lang w:eastAsia="zh-CN"/>
        </w:rPr>
        <w:t>64</w:t>
      </w:r>
      <w:r w:rsidR="00BF36BC">
        <w:rPr>
          <w:rFonts w:hint="eastAsia"/>
          <w:szCs w:val="22"/>
          <w:lang w:eastAsia="zh-CN"/>
        </w:rPr>
        <w:t>3</w:t>
      </w:r>
      <w:r w:rsidRPr="00663610">
        <w:rPr>
          <w:rFonts w:hint="eastAsia"/>
          <w:szCs w:val="22"/>
          <w:lang w:eastAsia="zh-CN"/>
        </w:rPr>
        <w:t xml:space="preserve"> million or </w:t>
      </w:r>
      <w:r w:rsidR="003230B8">
        <w:rPr>
          <w:szCs w:val="22"/>
          <w:lang w:eastAsia="zh-CN"/>
        </w:rPr>
        <w:t>22.3</w:t>
      </w:r>
      <w:r w:rsidR="000D660A">
        <w:rPr>
          <w:szCs w:val="22"/>
          <w:lang w:eastAsia="zh-CN"/>
        </w:rPr>
        <w:t>7</w:t>
      </w:r>
      <w:r w:rsidRPr="00663610">
        <w:rPr>
          <w:rFonts w:hint="eastAsia"/>
          <w:szCs w:val="22"/>
          <w:lang w:eastAsia="zh-CN"/>
        </w:rPr>
        <w:t>% as compared to the profit before tax of RM</w:t>
      </w:r>
      <w:r w:rsidR="003230B8">
        <w:rPr>
          <w:szCs w:val="22"/>
          <w:lang w:eastAsia="zh-CN"/>
        </w:rPr>
        <w:t>2.875</w:t>
      </w:r>
      <w:r w:rsidRPr="00663610">
        <w:rPr>
          <w:rFonts w:hint="eastAsia"/>
          <w:szCs w:val="22"/>
          <w:lang w:eastAsia="zh-CN"/>
        </w:rPr>
        <w:t xml:space="preserve"> million for the preceding quarter ended </w:t>
      </w:r>
      <w:r w:rsidR="003230B8">
        <w:rPr>
          <w:szCs w:val="22"/>
          <w:lang w:eastAsia="zh-CN"/>
        </w:rPr>
        <w:t>31 December</w:t>
      </w:r>
      <w:r w:rsidRPr="00663610">
        <w:rPr>
          <w:rFonts w:hint="eastAsia"/>
          <w:szCs w:val="22"/>
          <w:lang w:eastAsia="zh-CN"/>
        </w:rPr>
        <w:t xml:space="preserve"> 2012. </w:t>
      </w:r>
    </w:p>
    <w:p w:rsidR="005B5743" w:rsidRDefault="005B5743" w:rsidP="005B5743">
      <w:pPr>
        <w:ind w:left="720"/>
        <w:jc w:val="both"/>
        <w:rPr>
          <w:szCs w:val="22"/>
          <w:lang w:eastAsia="zh-CN"/>
        </w:rPr>
      </w:pPr>
    </w:p>
    <w:p w:rsidR="005B5743" w:rsidRPr="00663610" w:rsidRDefault="005B5743" w:rsidP="00777478">
      <w:pPr>
        <w:ind w:left="720"/>
        <w:jc w:val="both"/>
        <w:rPr>
          <w:szCs w:val="22"/>
          <w:lang w:eastAsia="zh-CN"/>
        </w:rPr>
      </w:pPr>
      <w:r>
        <w:rPr>
          <w:rFonts w:hint="eastAsia"/>
          <w:szCs w:val="22"/>
          <w:lang w:eastAsia="zh-CN"/>
        </w:rPr>
        <w:t>Th</w:t>
      </w:r>
      <w:r w:rsidR="00BF36BC">
        <w:rPr>
          <w:rFonts w:hint="eastAsia"/>
          <w:szCs w:val="22"/>
          <w:lang w:eastAsia="zh-CN"/>
        </w:rPr>
        <w:t xml:space="preserve">e improvement in </w:t>
      </w:r>
      <w:r w:rsidR="00777478">
        <w:rPr>
          <w:rFonts w:hint="eastAsia"/>
          <w:szCs w:val="22"/>
          <w:lang w:eastAsia="zh-CN"/>
        </w:rPr>
        <w:t xml:space="preserve">profit before tax was due mainly to the increase in sales volume of polymeric products. </w:t>
      </w:r>
      <w:r w:rsidR="000D660A">
        <w:rPr>
          <w:szCs w:val="22"/>
          <w:lang w:eastAsia="zh-CN"/>
        </w:rPr>
        <w:t>T</w:t>
      </w:r>
      <w:r w:rsidR="00777478">
        <w:rPr>
          <w:rFonts w:hint="eastAsia"/>
          <w:szCs w:val="22"/>
          <w:lang w:eastAsia="zh-CN"/>
        </w:rPr>
        <w:t>he gain on d</w:t>
      </w:r>
      <w:r w:rsidR="00BA53D4">
        <w:rPr>
          <w:rFonts w:hint="eastAsia"/>
          <w:szCs w:val="22"/>
          <w:lang w:eastAsia="zh-CN"/>
        </w:rPr>
        <w:t xml:space="preserve">isposal </w:t>
      </w:r>
      <w:r w:rsidR="000D660A">
        <w:rPr>
          <w:szCs w:val="22"/>
          <w:lang w:eastAsia="zh-CN"/>
        </w:rPr>
        <w:t>of investment in</w:t>
      </w:r>
      <w:r w:rsidR="00777478">
        <w:rPr>
          <w:rFonts w:hint="eastAsia"/>
          <w:szCs w:val="22"/>
          <w:lang w:eastAsia="zh-CN"/>
        </w:rPr>
        <w:t xml:space="preserve"> </w:t>
      </w:r>
      <w:r w:rsidR="00BA53D4">
        <w:rPr>
          <w:rFonts w:hint="eastAsia"/>
          <w:szCs w:val="22"/>
          <w:lang w:eastAsia="zh-CN"/>
        </w:rPr>
        <w:t>a</w:t>
      </w:r>
      <w:r w:rsidR="00777478">
        <w:rPr>
          <w:rFonts w:hint="eastAsia"/>
          <w:szCs w:val="22"/>
          <w:lang w:eastAsia="zh-CN"/>
        </w:rPr>
        <w:t xml:space="preserve">n associate </w:t>
      </w:r>
      <w:r w:rsidR="00F160A9">
        <w:rPr>
          <w:szCs w:val="22"/>
          <w:lang w:eastAsia="zh-CN"/>
        </w:rPr>
        <w:t xml:space="preserve">which was previously written off </w:t>
      </w:r>
      <w:r w:rsidR="00777478">
        <w:rPr>
          <w:rFonts w:hint="eastAsia"/>
          <w:szCs w:val="22"/>
          <w:lang w:eastAsia="zh-CN"/>
        </w:rPr>
        <w:t xml:space="preserve">and </w:t>
      </w:r>
      <w:r w:rsidR="000D660A">
        <w:rPr>
          <w:szCs w:val="22"/>
          <w:lang w:eastAsia="zh-CN"/>
        </w:rPr>
        <w:t xml:space="preserve">the increase in the </w:t>
      </w:r>
      <w:r w:rsidR="00777478">
        <w:rPr>
          <w:rFonts w:hint="eastAsia"/>
          <w:szCs w:val="22"/>
          <w:lang w:eastAsia="zh-CN"/>
        </w:rPr>
        <w:t xml:space="preserve">share of profit </w:t>
      </w:r>
      <w:r w:rsidR="000D660A">
        <w:rPr>
          <w:szCs w:val="22"/>
          <w:lang w:eastAsia="zh-CN"/>
        </w:rPr>
        <w:t>in</w:t>
      </w:r>
      <w:r w:rsidR="00777478">
        <w:rPr>
          <w:rFonts w:hint="eastAsia"/>
          <w:szCs w:val="22"/>
          <w:lang w:eastAsia="zh-CN"/>
        </w:rPr>
        <w:t xml:space="preserve"> a joint</w:t>
      </w:r>
      <w:r w:rsidR="00F160A9">
        <w:rPr>
          <w:szCs w:val="22"/>
          <w:lang w:eastAsia="zh-CN"/>
        </w:rPr>
        <w:t>ly</w:t>
      </w:r>
      <w:r w:rsidR="00777478">
        <w:rPr>
          <w:rFonts w:hint="eastAsia"/>
          <w:szCs w:val="22"/>
          <w:lang w:eastAsia="zh-CN"/>
        </w:rPr>
        <w:t xml:space="preserve"> controlled</w:t>
      </w:r>
      <w:r w:rsidR="000D660A">
        <w:rPr>
          <w:szCs w:val="22"/>
          <w:lang w:eastAsia="zh-CN"/>
        </w:rPr>
        <w:t xml:space="preserve"> entity had further</w:t>
      </w:r>
      <w:r w:rsidR="00777478">
        <w:rPr>
          <w:rFonts w:hint="eastAsia"/>
          <w:szCs w:val="22"/>
          <w:lang w:eastAsia="zh-CN"/>
        </w:rPr>
        <w:t xml:space="preserve"> contributed to the increase in profit before tax.</w:t>
      </w:r>
    </w:p>
    <w:p w:rsidR="005B5743" w:rsidRPr="00663610" w:rsidRDefault="005B5743" w:rsidP="005B5743">
      <w:pPr>
        <w:pStyle w:val="BlockText"/>
        <w:tabs>
          <w:tab w:val="left" w:pos="720"/>
          <w:tab w:val="left" w:pos="7470"/>
        </w:tabs>
        <w:ind w:left="720" w:right="0"/>
        <w:rPr>
          <w:szCs w:val="22"/>
          <w:lang w:eastAsia="zh-CN"/>
        </w:rPr>
      </w:pPr>
    </w:p>
    <w:p w:rsidR="005B5743" w:rsidRPr="00663610" w:rsidRDefault="005B5743" w:rsidP="005B5743">
      <w:pPr>
        <w:pStyle w:val="Heading2"/>
        <w:rPr>
          <w:sz w:val="22"/>
          <w:szCs w:val="22"/>
        </w:rPr>
      </w:pPr>
      <w:r w:rsidRPr="00663610">
        <w:rPr>
          <w:sz w:val="22"/>
          <w:szCs w:val="22"/>
        </w:rPr>
        <w:t>1</w:t>
      </w:r>
      <w:r w:rsidRPr="00663610">
        <w:rPr>
          <w:sz w:val="22"/>
          <w:szCs w:val="22"/>
          <w:lang w:eastAsia="zh-CN"/>
        </w:rPr>
        <w:t>7</w:t>
      </w:r>
      <w:r w:rsidRPr="00663610">
        <w:rPr>
          <w:sz w:val="22"/>
          <w:szCs w:val="22"/>
        </w:rPr>
        <w:t>.</w:t>
      </w:r>
      <w:r w:rsidRPr="00663610">
        <w:rPr>
          <w:sz w:val="22"/>
          <w:szCs w:val="22"/>
        </w:rPr>
        <w:tab/>
        <w:t xml:space="preserve">Future Prospects </w:t>
      </w:r>
    </w:p>
    <w:p w:rsidR="005B5743" w:rsidRPr="00663610" w:rsidRDefault="005B5743" w:rsidP="005B5743">
      <w:pPr>
        <w:pStyle w:val="BodyText"/>
        <w:ind w:left="720"/>
        <w:rPr>
          <w:szCs w:val="22"/>
          <w:lang w:eastAsia="zh-CN"/>
        </w:rPr>
      </w:pPr>
    </w:p>
    <w:p w:rsidR="005B5743" w:rsidRDefault="005B5743" w:rsidP="005B5743">
      <w:pPr>
        <w:ind w:left="720"/>
        <w:jc w:val="both"/>
        <w:rPr>
          <w:szCs w:val="22"/>
          <w:lang w:eastAsia="zh-CN"/>
        </w:rPr>
      </w:pPr>
      <w:r>
        <w:rPr>
          <w:rFonts w:hint="eastAsia"/>
          <w:szCs w:val="22"/>
          <w:lang w:eastAsia="zh-CN"/>
        </w:rPr>
        <w:t xml:space="preserve">Moving forward to </w:t>
      </w:r>
      <w:r w:rsidR="003F78D5">
        <w:rPr>
          <w:szCs w:val="22"/>
          <w:lang w:eastAsia="zh-CN"/>
        </w:rPr>
        <w:t xml:space="preserve">the remaining financial quarters of </w:t>
      </w:r>
      <w:r>
        <w:rPr>
          <w:rFonts w:hint="eastAsia"/>
          <w:szCs w:val="22"/>
          <w:lang w:eastAsia="zh-CN"/>
        </w:rPr>
        <w:t>2013, the Group expects to deliver another year of satisfactory and stable performance based on the following:</w:t>
      </w:r>
    </w:p>
    <w:p w:rsidR="005B5743" w:rsidRDefault="005B5743" w:rsidP="005B5743">
      <w:pPr>
        <w:ind w:left="720"/>
        <w:jc w:val="both"/>
        <w:rPr>
          <w:szCs w:val="22"/>
          <w:lang w:eastAsia="zh-CN"/>
        </w:rPr>
      </w:pPr>
    </w:p>
    <w:p w:rsidR="005B5743" w:rsidRDefault="005B5743" w:rsidP="005B5743">
      <w:pPr>
        <w:pStyle w:val="ListParagraph"/>
        <w:numPr>
          <w:ilvl w:val="0"/>
          <w:numId w:val="25"/>
        </w:numPr>
        <w:contextualSpacing/>
        <w:jc w:val="both"/>
        <w:rPr>
          <w:szCs w:val="22"/>
          <w:lang w:eastAsia="zh-CN"/>
        </w:rPr>
      </w:pPr>
      <w:r>
        <w:rPr>
          <w:rFonts w:hint="eastAsia"/>
          <w:szCs w:val="22"/>
          <w:lang w:eastAsia="zh-CN"/>
        </w:rPr>
        <w:t>leveraging on the sound financial background of the Group;</w:t>
      </w:r>
    </w:p>
    <w:p w:rsidR="005B5743" w:rsidRDefault="005B5743" w:rsidP="005B5743">
      <w:pPr>
        <w:pStyle w:val="ListParagraph"/>
        <w:numPr>
          <w:ilvl w:val="0"/>
          <w:numId w:val="25"/>
        </w:numPr>
        <w:ind w:left="1440" w:hanging="660"/>
        <w:contextualSpacing/>
        <w:jc w:val="both"/>
        <w:rPr>
          <w:szCs w:val="22"/>
          <w:lang w:eastAsia="zh-CN"/>
        </w:rPr>
      </w:pPr>
      <w:r>
        <w:rPr>
          <w:rFonts w:hint="eastAsia"/>
          <w:szCs w:val="22"/>
          <w:lang w:eastAsia="zh-CN"/>
        </w:rPr>
        <w:t>continue to expand its market share in overseas and local markets;</w:t>
      </w:r>
    </w:p>
    <w:p w:rsidR="005B5743" w:rsidRDefault="005B5743" w:rsidP="005B5743">
      <w:pPr>
        <w:pStyle w:val="ListParagraph"/>
        <w:numPr>
          <w:ilvl w:val="0"/>
          <w:numId w:val="25"/>
        </w:numPr>
        <w:contextualSpacing/>
        <w:jc w:val="both"/>
        <w:rPr>
          <w:szCs w:val="22"/>
          <w:lang w:eastAsia="zh-CN"/>
        </w:rPr>
      </w:pPr>
      <w:r w:rsidRPr="0034462D">
        <w:rPr>
          <w:rFonts w:hint="eastAsia"/>
          <w:szCs w:val="22"/>
          <w:lang w:eastAsia="zh-CN"/>
        </w:rPr>
        <w:t xml:space="preserve">improve </w:t>
      </w:r>
      <w:r>
        <w:rPr>
          <w:rFonts w:hint="eastAsia"/>
          <w:szCs w:val="22"/>
          <w:lang w:eastAsia="zh-CN"/>
        </w:rPr>
        <w:t xml:space="preserve">its </w:t>
      </w:r>
      <w:r w:rsidRPr="0034462D">
        <w:rPr>
          <w:rFonts w:hint="eastAsia"/>
          <w:szCs w:val="22"/>
          <w:lang w:eastAsia="zh-CN"/>
        </w:rPr>
        <w:t>operational efficiencies</w:t>
      </w:r>
      <w:r>
        <w:rPr>
          <w:rFonts w:hint="eastAsia"/>
          <w:szCs w:val="22"/>
          <w:lang w:eastAsia="zh-CN"/>
        </w:rPr>
        <w:t>; and</w:t>
      </w:r>
    </w:p>
    <w:p w:rsidR="005B5743" w:rsidRPr="0034462D" w:rsidRDefault="005B5743" w:rsidP="005B5743">
      <w:pPr>
        <w:pStyle w:val="ListParagraph"/>
        <w:numPr>
          <w:ilvl w:val="0"/>
          <w:numId w:val="25"/>
        </w:numPr>
        <w:contextualSpacing/>
        <w:jc w:val="both"/>
        <w:rPr>
          <w:szCs w:val="22"/>
          <w:lang w:eastAsia="zh-CN"/>
        </w:rPr>
      </w:pPr>
      <w:r>
        <w:rPr>
          <w:rFonts w:hint="eastAsia"/>
          <w:szCs w:val="22"/>
          <w:lang w:eastAsia="zh-CN"/>
        </w:rPr>
        <w:t>good business network.</w:t>
      </w:r>
      <w:r w:rsidRPr="0034462D">
        <w:rPr>
          <w:rFonts w:hint="eastAsia"/>
          <w:szCs w:val="22"/>
          <w:lang w:eastAsia="zh-CN"/>
        </w:rPr>
        <w:t xml:space="preserve"> </w:t>
      </w:r>
    </w:p>
    <w:p w:rsidR="005B5743" w:rsidRPr="00663610" w:rsidRDefault="005B5743" w:rsidP="002D5E21">
      <w:pPr>
        <w:rPr>
          <w:szCs w:val="22"/>
          <w:lang w:eastAsia="zh-CN"/>
        </w:rPr>
      </w:pPr>
    </w:p>
    <w:p w:rsidR="00541004" w:rsidRPr="00663610" w:rsidRDefault="007E3BE2" w:rsidP="006A08B0">
      <w:pPr>
        <w:pStyle w:val="Heading2"/>
        <w:rPr>
          <w:sz w:val="22"/>
          <w:szCs w:val="22"/>
          <w:lang w:eastAsia="zh-CN"/>
        </w:rPr>
      </w:pPr>
      <w:r w:rsidRPr="00663610">
        <w:rPr>
          <w:sz w:val="22"/>
          <w:szCs w:val="22"/>
        </w:rPr>
        <w:t>1</w:t>
      </w:r>
      <w:r w:rsidR="00E53573" w:rsidRPr="00663610">
        <w:rPr>
          <w:sz w:val="22"/>
          <w:szCs w:val="22"/>
          <w:lang w:eastAsia="zh-CN"/>
        </w:rPr>
        <w:t>8</w:t>
      </w:r>
      <w:r w:rsidR="00541004" w:rsidRPr="00663610">
        <w:rPr>
          <w:sz w:val="22"/>
          <w:szCs w:val="22"/>
        </w:rPr>
        <w:t>.</w:t>
      </w:r>
      <w:r w:rsidR="00541004" w:rsidRPr="00663610">
        <w:rPr>
          <w:sz w:val="22"/>
          <w:szCs w:val="22"/>
        </w:rPr>
        <w:tab/>
        <w:t>Variance of Profit Forecast and Shortfall in Profit Guarantee</w:t>
      </w:r>
    </w:p>
    <w:p w:rsidR="00541004" w:rsidRPr="00663610" w:rsidRDefault="00541004" w:rsidP="006A08B0">
      <w:pPr>
        <w:pStyle w:val="BodyText"/>
        <w:rPr>
          <w:szCs w:val="22"/>
        </w:rPr>
      </w:pPr>
    </w:p>
    <w:p w:rsidR="00541004" w:rsidRPr="00663610" w:rsidRDefault="00541004" w:rsidP="006A08B0">
      <w:pPr>
        <w:pStyle w:val="BodyText"/>
        <w:ind w:left="720"/>
        <w:rPr>
          <w:szCs w:val="22"/>
        </w:rPr>
      </w:pPr>
      <w:r w:rsidRPr="00663610">
        <w:rPr>
          <w:szCs w:val="22"/>
        </w:rPr>
        <w:t>The Group has not issued any profit forecast or profit guarantee for the current financial quarter</w:t>
      </w:r>
      <w:r w:rsidR="00112159" w:rsidRPr="00663610">
        <w:rPr>
          <w:szCs w:val="22"/>
        </w:rPr>
        <w:t xml:space="preserve"> under review</w:t>
      </w:r>
      <w:r w:rsidR="00750F9B" w:rsidRPr="00663610">
        <w:rPr>
          <w:rFonts w:hint="eastAsia"/>
          <w:szCs w:val="22"/>
          <w:lang w:eastAsia="zh-CN"/>
        </w:rPr>
        <w:t>.</w:t>
      </w:r>
    </w:p>
    <w:p w:rsidR="002D5E21" w:rsidRPr="00663610" w:rsidRDefault="002D5E21" w:rsidP="006A08B0">
      <w:pPr>
        <w:pStyle w:val="BodyText"/>
        <w:ind w:left="720"/>
        <w:rPr>
          <w:szCs w:val="22"/>
          <w:lang w:eastAsia="zh-CN"/>
        </w:rPr>
      </w:pPr>
    </w:p>
    <w:p w:rsidR="00541004" w:rsidRPr="00663610" w:rsidRDefault="00541004" w:rsidP="00E36449">
      <w:pPr>
        <w:pStyle w:val="Heading2"/>
        <w:rPr>
          <w:sz w:val="22"/>
          <w:szCs w:val="22"/>
          <w:lang w:eastAsia="zh-CN"/>
        </w:rPr>
      </w:pPr>
      <w:r w:rsidRPr="00663610">
        <w:rPr>
          <w:sz w:val="22"/>
          <w:szCs w:val="22"/>
        </w:rPr>
        <w:t>1</w:t>
      </w:r>
      <w:r w:rsidR="00E53573" w:rsidRPr="00663610">
        <w:rPr>
          <w:sz w:val="22"/>
          <w:szCs w:val="22"/>
          <w:lang w:eastAsia="zh-CN"/>
        </w:rPr>
        <w:t>9</w:t>
      </w:r>
      <w:r w:rsidRPr="00663610">
        <w:rPr>
          <w:sz w:val="22"/>
          <w:szCs w:val="22"/>
        </w:rPr>
        <w:t>.</w:t>
      </w:r>
      <w:r w:rsidRPr="00663610">
        <w:rPr>
          <w:sz w:val="22"/>
          <w:szCs w:val="22"/>
        </w:rPr>
        <w:tab/>
        <w:t>Tax</w:t>
      </w:r>
      <w:r w:rsidR="00E00A1A">
        <w:rPr>
          <w:sz w:val="22"/>
          <w:szCs w:val="22"/>
        </w:rPr>
        <w:t xml:space="preserve"> </w:t>
      </w:r>
      <w:r w:rsidRPr="00663610">
        <w:rPr>
          <w:sz w:val="22"/>
          <w:szCs w:val="22"/>
        </w:rPr>
        <w:t>Expense</w:t>
      </w:r>
    </w:p>
    <w:p w:rsidR="00191951" w:rsidRPr="00663610" w:rsidRDefault="00191951" w:rsidP="00191951">
      <w:pPr>
        <w:rPr>
          <w:lang w:eastAsia="zh-CN"/>
        </w:rPr>
      </w:pPr>
    </w:p>
    <w:p w:rsidR="002720B0" w:rsidRPr="00663610" w:rsidRDefault="00541004" w:rsidP="002720B0">
      <w:pPr>
        <w:pStyle w:val="BodyText"/>
        <w:ind w:left="720" w:hanging="720"/>
        <w:rPr>
          <w:szCs w:val="22"/>
        </w:rPr>
      </w:pPr>
      <w:r w:rsidRPr="00663610">
        <w:rPr>
          <w:szCs w:val="22"/>
        </w:rPr>
        <w:tab/>
      </w:r>
      <w:r w:rsidR="002720B0" w:rsidRPr="00663610">
        <w:rPr>
          <w:szCs w:val="22"/>
        </w:rPr>
        <w:t>The tax expense</w:t>
      </w:r>
      <w:r w:rsidR="004D7974">
        <w:rPr>
          <w:rFonts w:hint="eastAsia"/>
          <w:szCs w:val="22"/>
          <w:lang w:eastAsia="zh-CN"/>
        </w:rPr>
        <w:t xml:space="preserve"> charged</w:t>
      </w:r>
      <w:r w:rsidR="002720B0" w:rsidRPr="00663610">
        <w:rPr>
          <w:szCs w:val="22"/>
        </w:rPr>
        <w:t xml:space="preserve"> for the current financial quarter under review</w:t>
      </w:r>
      <w:r w:rsidR="00E34F8A">
        <w:rPr>
          <w:rFonts w:hint="eastAsia"/>
          <w:szCs w:val="22"/>
          <w:lang w:eastAsia="zh-CN"/>
        </w:rPr>
        <w:t xml:space="preserve"> is as follow</w:t>
      </w:r>
      <w:r w:rsidR="002720B0" w:rsidRPr="00663610">
        <w:rPr>
          <w:szCs w:val="22"/>
        </w:rPr>
        <w:t>:</w:t>
      </w:r>
    </w:p>
    <w:p w:rsidR="002720B0" w:rsidRPr="00663610" w:rsidRDefault="002720B0" w:rsidP="002720B0">
      <w:pPr>
        <w:pStyle w:val="BodyText"/>
        <w:rPr>
          <w:szCs w:val="22"/>
        </w:rPr>
      </w:pPr>
    </w:p>
    <w:tbl>
      <w:tblPr>
        <w:tblW w:w="10350" w:type="dxa"/>
        <w:tblInd w:w="828" w:type="dxa"/>
        <w:tblLook w:val="01E0" w:firstRow="1" w:lastRow="1" w:firstColumn="1" w:lastColumn="1" w:noHBand="0" w:noVBand="0"/>
      </w:tblPr>
      <w:tblGrid>
        <w:gridCol w:w="390"/>
        <w:gridCol w:w="6450"/>
        <w:gridCol w:w="2070"/>
        <w:gridCol w:w="270"/>
        <w:gridCol w:w="1170"/>
      </w:tblGrid>
      <w:tr w:rsidR="002720B0" w:rsidRPr="00663610" w:rsidTr="00EA6846">
        <w:tc>
          <w:tcPr>
            <w:tcW w:w="390" w:type="dxa"/>
          </w:tcPr>
          <w:p w:rsidR="002720B0" w:rsidRPr="00663610" w:rsidRDefault="002720B0" w:rsidP="005D404F">
            <w:pPr>
              <w:pStyle w:val="BodyText"/>
              <w:rPr>
                <w:szCs w:val="22"/>
              </w:rPr>
            </w:pPr>
          </w:p>
        </w:tc>
        <w:tc>
          <w:tcPr>
            <w:tcW w:w="6450" w:type="dxa"/>
          </w:tcPr>
          <w:p w:rsidR="002720B0" w:rsidRPr="00663610" w:rsidRDefault="002720B0" w:rsidP="005D404F">
            <w:pPr>
              <w:pStyle w:val="BodyText"/>
              <w:rPr>
                <w:szCs w:val="22"/>
              </w:rPr>
            </w:pPr>
          </w:p>
        </w:tc>
        <w:tc>
          <w:tcPr>
            <w:tcW w:w="2070" w:type="dxa"/>
          </w:tcPr>
          <w:p w:rsidR="002720B0" w:rsidRDefault="002720B0" w:rsidP="00572508">
            <w:pPr>
              <w:pStyle w:val="BodyText"/>
              <w:jc w:val="center"/>
              <w:rPr>
                <w:b/>
                <w:szCs w:val="22"/>
                <w:lang w:eastAsia="zh-CN"/>
              </w:rPr>
            </w:pPr>
            <w:r w:rsidRPr="00663610">
              <w:rPr>
                <w:b/>
                <w:szCs w:val="22"/>
              </w:rPr>
              <w:t>Current Quarter</w:t>
            </w:r>
            <w:r w:rsidR="00572508">
              <w:rPr>
                <w:b/>
                <w:szCs w:val="22"/>
              </w:rPr>
              <w:t>/Financial Year-To-Date</w:t>
            </w:r>
          </w:p>
          <w:p w:rsidR="00572508" w:rsidRPr="00663610" w:rsidRDefault="00572508" w:rsidP="00572508">
            <w:pPr>
              <w:pStyle w:val="BodyText"/>
              <w:jc w:val="center"/>
              <w:rPr>
                <w:b/>
                <w:szCs w:val="22"/>
                <w:lang w:eastAsia="zh-CN"/>
              </w:rPr>
            </w:pPr>
            <w:r>
              <w:rPr>
                <w:b/>
                <w:szCs w:val="22"/>
                <w:lang w:eastAsia="zh-CN"/>
              </w:rPr>
              <w:t>31.03.2013</w:t>
            </w:r>
          </w:p>
        </w:tc>
        <w:tc>
          <w:tcPr>
            <w:tcW w:w="270" w:type="dxa"/>
          </w:tcPr>
          <w:p w:rsidR="002720B0" w:rsidRPr="00663610" w:rsidRDefault="002720B0" w:rsidP="005D404F">
            <w:pPr>
              <w:pStyle w:val="BodyText"/>
              <w:jc w:val="center"/>
              <w:rPr>
                <w:b/>
                <w:szCs w:val="22"/>
              </w:rPr>
            </w:pPr>
          </w:p>
        </w:tc>
        <w:tc>
          <w:tcPr>
            <w:tcW w:w="1170" w:type="dxa"/>
          </w:tcPr>
          <w:p w:rsidR="002720B0" w:rsidRPr="00663610" w:rsidRDefault="002720B0" w:rsidP="00D8004D">
            <w:pPr>
              <w:pStyle w:val="BodyText"/>
              <w:jc w:val="center"/>
              <w:rPr>
                <w:b/>
                <w:szCs w:val="22"/>
              </w:rPr>
            </w:pPr>
          </w:p>
        </w:tc>
      </w:tr>
      <w:tr w:rsidR="002720B0" w:rsidRPr="00663610" w:rsidTr="00EA6846">
        <w:tc>
          <w:tcPr>
            <w:tcW w:w="390" w:type="dxa"/>
          </w:tcPr>
          <w:p w:rsidR="002720B0" w:rsidRPr="00663610" w:rsidRDefault="002720B0" w:rsidP="005D404F">
            <w:pPr>
              <w:pStyle w:val="BodyText"/>
              <w:rPr>
                <w:szCs w:val="22"/>
              </w:rPr>
            </w:pPr>
          </w:p>
        </w:tc>
        <w:tc>
          <w:tcPr>
            <w:tcW w:w="6450" w:type="dxa"/>
          </w:tcPr>
          <w:p w:rsidR="002720B0" w:rsidRPr="00663610" w:rsidRDefault="002720B0" w:rsidP="005D404F">
            <w:pPr>
              <w:pStyle w:val="BodyText"/>
              <w:rPr>
                <w:szCs w:val="22"/>
              </w:rPr>
            </w:pPr>
          </w:p>
        </w:tc>
        <w:tc>
          <w:tcPr>
            <w:tcW w:w="2070" w:type="dxa"/>
          </w:tcPr>
          <w:p w:rsidR="002720B0" w:rsidRPr="00663610" w:rsidRDefault="002720B0" w:rsidP="005D404F">
            <w:pPr>
              <w:pStyle w:val="BodyText"/>
              <w:jc w:val="center"/>
              <w:rPr>
                <w:b/>
                <w:szCs w:val="22"/>
              </w:rPr>
            </w:pPr>
            <w:r w:rsidRPr="00663610">
              <w:rPr>
                <w:b/>
                <w:szCs w:val="22"/>
              </w:rPr>
              <w:t>RM’000</w:t>
            </w:r>
          </w:p>
        </w:tc>
        <w:tc>
          <w:tcPr>
            <w:tcW w:w="270" w:type="dxa"/>
          </w:tcPr>
          <w:p w:rsidR="002720B0" w:rsidRPr="00663610" w:rsidRDefault="002720B0" w:rsidP="005D404F">
            <w:pPr>
              <w:pStyle w:val="BodyText"/>
              <w:jc w:val="center"/>
              <w:rPr>
                <w:b/>
                <w:szCs w:val="22"/>
              </w:rPr>
            </w:pPr>
          </w:p>
        </w:tc>
        <w:tc>
          <w:tcPr>
            <w:tcW w:w="1170" w:type="dxa"/>
          </w:tcPr>
          <w:p w:rsidR="002720B0" w:rsidRPr="00663610" w:rsidRDefault="002720B0" w:rsidP="005B2D44">
            <w:pPr>
              <w:pStyle w:val="BodyText"/>
              <w:jc w:val="center"/>
              <w:rPr>
                <w:b/>
                <w:szCs w:val="22"/>
              </w:rPr>
            </w:pPr>
          </w:p>
        </w:tc>
      </w:tr>
      <w:tr w:rsidR="002720B0" w:rsidRPr="00663610" w:rsidTr="00EA6846">
        <w:trPr>
          <w:trHeight w:hRule="exact" w:val="144"/>
        </w:trPr>
        <w:tc>
          <w:tcPr>
            <w:tcW w:w="390" w:type="dxa"/>
          </w:tcPr>
          <w:p w:rsidR="002720B0" w:rsidRPr="00663610" w:rsidRDefault="002720B0" w:rsidP="005D404F">
            <w:pPr>
              <w:pStyle w:val="BodyText"/>
              <w:rPr>
                <w:szCs w:val="22"/>
              </w:rPr>
            </w:pPr>
          </w:p>
        </w:tc>
        <w:tc>
          <w:tcPr>
            <w:tcW w:w="6450" w:type="dxa"/>
          </w:tcPr>
          <w:p w:rsidR="002720B0" w:rsidRPr="00663610" w:rsidRDefault="002720B0" w:rsidP="005D404F">
            <w:pPr>
              <w:pStyle w:val="BodyText"/>
              <w:rPr>
                <w:szCs w:val="22"/>
              </w:rPr>
            </w:pPr>
          </w:p>
        </w:tc>
        <w:tc>
          <w:tcPr>
            <w:tcW w:w="2070" w:type="dxa"/>
          </w:tcPr>
          <w:p w:rsidR="002720B0" w:rsidRPr="00663610" w:rsidRDefault="002720B0" w:rsidP="005D404F">
            <w:pPr>
              <w:pStyle w:val="BodyText"/>
              <w:rPr>
                <w:szCs w:val="22"/>
              </w:rPr>
            </w:pPr>
          </w:p>
        </w:tc>
        <w:tc>
          <w:tcPr>
            <w:tcW w:w="270" w:type="dxa"/>
          </w:tcPr>
          <w:p w:rsidR="002720B0" w:rsidRPr="00663610" w:rsidRDefault="002720B0" w:rsidP="005D404F">
            <w:pPr>
              <w:pStyle w:val="BodyText"/>
              <w:rPr>
                <w:szCs w:val="22"/>
              </w:rPr>
            </w:pPr>
          </w:p>
        </w:tc>
        <w:tc>
          <w:tcPr>
            <w:tcW w:w="1170" w:type="dxa"/>
          </w:tcPr>
          <w:p w:rsidR="002720B0" w:rsidRPr="00663610" w:rsidRDefault="002720B0" w:rsidP="005D404F">
            <w:pPr>
              <w:pStyle w:val="BodyText"/>
              <w:rPr>
                <w:szCs w:val="22"/>
              </w:rPr>
            </w:pPr>
          </w:p>
        </w:tc>
      </w:tr>
      <w:tr w:rsidR="002720B0" w:rsidRPr="00663610" w:rsidTr="00EA6846">
        <w:tc>
          <w:tcPr>
            <w:tcW w:w="390" w:type="dxa"/>
          </w:tcPr>
          <w:p w:rsidR="002720B0" w:rsidRPr="00663610" w:rsidRDefault="002720B0" w:rsidP="005D404F">
            <w:pPr>
              <w:pStyle w:val="BodyText"/>
              <w:rPr>
                <w:szCs w:val="22"/>
              </w:rPr>
            </w:pPr>
          </w:p>
        </w:tc>
        <w:tc>
          <w:tcPr>
            <w:tcW w:w="6450" w:type="dxa"/>
          </w:tcPr>
          <w:p w:rsidR="002720B0" w:rsidRPr="00663610" w:rsidRDefault="002720B0" w:rsidP="005D404F">
            <w:pPr>
              <w:pStyle w:val="BodyText"/>
              <w:rPr>
                <w:szCs w:val="22"/>
              </w:rPr>
            </w:pPr>
            <w:r w:rsidRPr="00663610">
              <w:rPr>
                <w:szCs w:val="22"/>
              </w:rPr>
              <w:t>Estimated current tax expense</w:t>
            </w:r>
          </w:p>
        </w:tc>
        <w:tc>
          <w:tcPr>
            <w:tcW w:w="2070" w:type="dxa"/>
            <w:tcBorders>
              <w:bottom w:val="double" w:sz="4" w:space="0" w:color="auto"/>
            </w:tcBorders>
          </w:tcPr>
          <w:p w:rsidR="002720B0" w:rsidRPr="004278C4" w:rsidRDefault="005B2D44" w:rsidP="005B2D44">
            <w:pPr>
              <w:pStyle w:val="BodyText"/>
              <w:tabs>
                <w:tab w:val="clear" w:pos="720"/>
                <w:tab w:val="clear" w:pos="1080"/>
                <w:tab w:val="clear" w:pos="1440"/>
                <w:tab w:val="decimal" w:pos="1152"/>
              </w:tabs>
              <w:ind w:left="252"/>
              <w:rPr>
                <w:szCs w:val="22"/>
                <w:lang w:eastAsia="zh-CN"/>
              </w:rPr>
            </w:pPr>
            <w:r w:rsidRPr="004278C4">
              <w:rPr>
                <w:szCs w:val="22"/>
                <w:lang w:eastAsia="zh-CN"/>
              </w:rPr>
              <w:t>791</w:t>
            </w:r>
          </w:p>
        </w:tc>
        <w:tc>
          <w:tcPr>
            <w:tcW w:w="270" w:type="dxa"/>
          </w:tcPr>
          <w:p w:rsidR="002720B0" w:rsidRPr="00663610" w:rsidRDefault="002720B0" w:rsidP="005D404F">
            <w:pPr>
              <w:pStyle w:val="BodyText"/>
              <w:jc w:val="center"/>
              <w:rPr>
                <w:szCs w:val="22"/>
              </w:rPr>
            </w:pPr>
          </w:p>
        </w:tc>
        <w:tc>
          <w:tcPr>
            <w:tcW w:w="1170" w:type="dxa"/>
          </w:tcPr>
          <w:p w:rsidR="002720B0" w:rsidRPr="00663610" w:rsidRDefault="002720B0" w:rsidP="00A441AC">
            <w:pPr>
              <w:pStyle w:val="BodyText"/>
              <w:tabs>
                <w:tab w:val="clear" w:pos="720"/>
                <w:tab w:val="clear" w:pos="1080"/>
                <w:tab w:val="clear" w:pos="1440"/>
                <w:tab w:val="decimal" w:pos="1422"/>
              </w:tabs>
              <w:rPr>
                <w:szCs w:val="22"/>
                <w:lang w:eastAsia="zh-CN"/>
              </w:rPr>
            </w:pPr>
          </w:p>
        </w:tc>
      </w:tr>
    </w:tbl>
    <w:p w:rsidR="00E34F8A" w:rsidRDefault="00E34F8A" w:rsidP="002720B0">
      <w:pPr>
        <w:pStyle w:val="Heading2"/>
        <w:ind w:left="720"/>
        <w:rPr>
          <w:b w:val="0"/>
          <w:bCs/>
          <w:sz w:val="22"/>
          <w:szCs w:val="22"/>
          <w:lang w:eastAsia="zh-CN"/>
        </w:rPr>
      </w:pPr>
    </w:p>
    <w:p w:rsidR="002720B0" w:rsidRPr="00663610" w:rsidRDefault="002720B0" w:rsidP="002720B0">
      <w:pPr>
        <w:pStyle w:val="Heading2"/>
        <w:ind w:left="720"/>
        <w:rPr>
          <w:b w:val="0"/>
          <w:bCs/>
          <w:sz w:val="22"/>
          <w:szCs w:val="22"/>
        </w:rPr>
      </w:pPr>
      <w:r w:rsidRPr="00663610">
        <w:rPr>
          <w:b w:val="0"/>
          <w:bCs/>
          <w:sz w:val="22"/>
          <w:szCs w:val="22"/>
        </w:rPr>
        <w:t xml:space="preserve">The Group’s effective tax rate was </w:t>
      </w:r>
      <w:r w:rsidR="0055488C">
        <w:rPr>
          <w:rFonts w:hint="eastAsia"/>
          <w:b w:val="0"/>
          <w:bCs/>
          <w:sz w:val="22"/>
          <w:szCs w:val="22"/>
          <w:lang w:eastAsia="zh-CN"/>
        </w:rPr>
        <w:t>lower</w:t>
      </w:r>
      <w:r w:rsidRPr="00663610">
        <w:rPr>
          <w:b w:val="0"/>
          <w:bCs/>
          <w:sz w:val="22"/>
          <w:szCs w:val="22"/>
        </w:rPr>
        <w:t xml:space="preserve"> than the statutory tax rate of 25% due mainly to </w:t>
      </w:r>
      <w:r w:rsidR="0055488C">
        <w:rPr>
          <w:rFonts w:hint="eastAsia"/>
          <w:b w:val="0"/>
          <w:bCs/>
          <w:sz w:val="22"/>
          <w:szCs w:val="22"/>
          <w:lang w:eastAsia="zh-CN"/>
        </w:rPr>
        <w:t xml:space="preserve">the </w:t>
      </w:r>
      <w:r w:rsidR="005B2D44">
        <w:rPr>
          <w:b w:val="0"/>
          <w:bCs/>
          <w:sz w:val="22"/>
          <w:szCs w:val="22"/>
          <w:lang w:eastAsia="zh-CN"/>
        </w:rPr>
        <w:t xml:space="preserve">inclusion of </w:t>
      </w:r>
      <w:r w:rsidR="00E34F8A">
        <w:rPr>
          <w:rFonts w:hint="eastAsia"/>
          <w:b w:val="0"/>
          <w:bCs/>
          <w:sz w:val="22"/>
          <w:szCs w:val="22"/>
          <w:lang w:eastAsia="zh-CN"/>
        </w:rPr>
        <w:t xml:space="preserve">gain on disposal of investment in </w:t>
      </w:r>
      <w:r w:rsidR="000D660A">
        <w:rPr>
          <w:b w:val="0"/>
          <w:bCs/>
          <w:sz w:val="22"/>
          <w:szCs w:val="22"/>
          <w:lang w:eastAsia="zh-CN"/>
        </w:rPr>
        <w:t xml:space="preserve">an </w:t>
      </w:r>
      <w:r w:rsidR="00E34F8A">
        <w:rPr>
          <w:rFonts w:hint="eastAsia"/>
          <w:b w:val="0"/>
          <w:bCs/>
          <w:sz w:val="22"/>
          <w:szCs w:val="22"/>
          <w:lang w:eastAsia="zh-CN"/>
        </w:rPr>
        <w:t>associate</w:t>
      </w:r>
      <w:r w:rsidR="004760DA">
        <w:rPr>
          <w:b w:val="0"/>
          <w:bCs/>
          <w:sz w:val="22"/>
          <w:szCs w:val="22"/>
          <w:lang w:eastAsia="zh-CN"/>
        </w:rPr>
        <w:t xml:space="preserve"> which was previously written off</w:t>
      </w:r>
      <w:r w:rsidR="00E34F8A">
        <w:rPr>
          <w:rFonts w:hint="eastAsia"/>
          <w:b w:val="0"/>
          <w:bCs/>
          <w:sz w:val="22"/>
          <w:szCs w:val="22"/>
          <w:lang w:eastAsia="zh-CN"/>
        </w:rPr>
        <w:t xml:space="preserve"> and </w:t>
      </w:r>
      <w:r w:rsidR="005B2D44">
        <w:rPr>
          <w:b w:val="0"/>
          <w:bCs/>
          <w:sz w:val="22"/>
          <w:szCs w:val="22"/>
          <w:lang w:eastAsia="zh-CN"/>
        </w:rPr>
        <w:t xml:space="preserve">share of profit in a jointly controlled entity </w:t>
      </w:r>
      <w:r w:rsidR="000D660A">
        <w:rPr>
          <w:b w:val="0"/>
          <w:bCs/>
          <w:sz w:val="22"/>
          <w:szCs w:val="22"/>
          <w:lang w:eastAsia="zh-CN"/>
        </w:rPr>
        <w:t xml:space="preserve">which </w:t>
      </w:r>
      <w:r w:rsidR="00E34F8A">
        <w:rPr>
          <w:rFonts w:hint="eastAsia"/>
          <w:b w:val="0"/>
          <w:bCs/>
          <w:sz w:val="22"/>
          <w:szCs w:val="22"/>
          <w:lang w:eastAsia="zh-CN"/>
        </w:rPr>
        <w:t xml:space="preserve">are </w:t>
      </w:r>
      <w:r w:rsidR="005B2D44">
        <w:rPr>
          <w:b w:val="0"/>
          <w:bCs/>
          <w:sz w:val="22"/>
          <w:szCs w:val="22"/>
          <w:lang w:eastAsia="zh-CN"/>
        </w:rPr>
        <w:t>not subject to Malaysian tax.</w:t>
      </w:r>
      <w:r w:rsidRPr="00663610">
        <w:rPr>
          <w:b w:val="0"/>
          <w:bCs/>
          <w:sz w:val="22"/>
          <w:szCs w:val="22"/>
        </w:rPr>
        <w:t xml:space="preserve"> </w:t>
      </w:r>
    </w:p>
    <w:p w:rsidR="00541004" w:rsidRPr="00663610" w:rsidRDefault="00541004" w:rsidP="006A08B0">
      <w:pPr>
        <w:pStyle w:val="BodyText"/>
        <w:rPr>
          <w:szCs w:val="22"/>
        </w:rPr>
      </w:pPr>
    </w:p>
    <w:p w:rsidR="00DF1E14" w:rsidRPr="00663610" w:rsidRDefault="001C6FF6" w:rsidP="00DF1E14">
      <w:pPr>
        <w:pStyle w:val="BodyText"/>
        <w:rPr>
          <w:b/>
          <w:szCs w:val="22"/>
          <w:lang w:eastAsia="zh-CN"/>
        </w:rPr>
      </w:pPr>
      <w:r w:rsidRPr="00663610">
        <w:rPr>
          <w:b/>
          <w:szCs w:val="22"/>
          <w:lang w:eastAsia="zh-CN"/>
        </w:rPr>
        <w:br w:type="page"/>
      </w:r>
    </w:p>
    <w:p w:rsidR="004278C4" w:rsidRDefault="004278C4" w:rsidP="006A7FB3">
      <w:pPr>
        <w:pStyle w:val="BodyText"/>
        <w:rPr>
          <w:b/>
          <w:szCs w:val="22"/>
          <w:lang w:eastAsia="zh-CN"/>
        </w:rPr>
      </w:pPr>
    </w:p>
    <w:p w:rsidR="006C1811" w:rsidRPr="00663610" w:rsidRDefault="00E53573" w:rsidP="006A7FB3">
      <w:pPr>
        <w:pStyle w:val="BodyText"/>
        <w:rPr>
          <w:b/>
          <w:bCs/>
          <w:szCs w:val="22"/>
        </w:rPr>
      </w:pPr>
      <w:r w:rsidRPr="00663610">
        <w:rPr>
          <w:b/>
          <w:szCs w:val="22"/>
          <w:lang w:eastAsia="zh-CN"/>
        </w:rPr>
        <w:t>20</w:t>
      </w:r>
      <w:r w:rsidR="006C1811" w:rsidRPr="00663610">
        <w:rPr>
          <w:b/>
          <w:szCs w:val="22"/>
        </w:rPr>
        <w:t>.</w:t>
      </w:r>
      <w:r w:rsidR="006C1811" w:rsidRPr="00663610">
        <w:rPr>
          <w:b/>
          <w:szCs w:val="22"/>
        </w:rPr>
        <w:tab/>
      </w:r>
      <w:r w:rsidR="006C1811" w:rsidRPr="00663610">
        <w:rPr>
          <w:b/>
          <w:bCs/>
          <w:szCs w:val="22"/>
        </w:rPr>
        <w:t xml:space="preserve">Status of Corporate Proposals </w:t>
      </w:r>
    </w:p>
    <w:p w:rsidR="00075744" w:rsidRDefault="009B5005" w:rsidP="00633442">
      <w:pPr>
        <w:tabs>
          <w:tab w:val="clear" w:pos="1440"/>
          <w:tab w:val="left" w:pos="1080"/>
        </w:tabs>
        <w:rPr>
          <w:szCs w:val="22"/>
        </w:rPr>
      </w:pPr>
      <w:r w:rsidRPr="00663610">
        <w:rPr>
          <w:b/>
          <w:szCs w:val="22"/>
        </w:rPr>
        <w:tab/>
      </w:r>
    </w:p>
    <w:p w:rsidR="00712018" w:rsidRDefault="00712018" w:rsidP="00633442">
      <w:pPr>
        <w:tabs>
          <w:tab w:val="clear" w:pos="1440"/>
          <w:tab w:val="left" w:pos="1080"/>
        </w:tabs>
        <w:ind w:left="720"/>
        <w:jc w:val="both"/>
        <w:rPr>
          <w:szCs w:val="22"/>
        </w:rPr>
      </w:pPr>
      <w:r>
        <w:rPr>
          <w:szCs w:val="22"/>
        </w:rPr>
        <w:t>On 27 May 2013, Public Investment Bank Berhad had, on behalf of the Board of Directors of KIB, announced that the Company proposes to undertake the following:</w:t>
      </w:r>
    </w:p>
    <w:p w:rsidR="00712018" w:rsidRDefault="00712018" w:rsidP="00633442">
      <w:pPr>
        <w:tabs>
          <w:tab w:val="clear" w:pos="1440"/>
          <w:tab w:val="left" w:pos="1080"/>
        </w:tabs>
        <w:ind w:left="720"/>
        <w:jc w:val="both"/>
        <w:rPr>
          <w:szCs w:val="22"/>
        </w:rPr>
      </w:pPr>
    </w:p>
    <w:p w:rsidR="00712018" w:rsidRDefault="00712018" w:rsidP="00633442">
      <w:pPr>
        <w:tabs>
          <w:tab w:val="clear" w:pos="1440"/>
          <w:tab w:val="left" w:pos="1080"/>
        </w:tabs>
        <w:ind w:left="1080" w:hanging="360"/>
        <w:jc w:val="both"/>
        <w:rPr>
          <w:szCs w:val="22"/>
        </w:rPr>
      </w:pPr>
      <w:r>
        <w:rPr>
          <w:szCs w:val="22"/>
        </w:rPr>
        <w:t>(i)</w:t>
      </w:r>
      <w:r>
        <w:rPr>
          <w:szCs w:val="22"/>
        </w:rPr>
        <w:tab/>
        <w:t xml:space="preserve">Proposed  transfer of the listing of and quotation for the entire issued and paid-up share capital of KIB from the ACE Market of Bursa </w:t>
      </w:r>
      <w:r w:rsidR="00275471">
        <w:rPr>
          <w:szCs w:val="22"/>
        </w:rPr>
        <w:t>Securities to the Main Market of Bursa Securities (“Proposed Transfer Listing); and</w:t>
      </w:r>
    </w:p>
    <w:p w:rsidR="00275471" w:rsidRDefault="00275471" w:rsidP="00633442">
      <w:pPr>
        <w:tabs>
          <w:tab w:val="clear" w:pos="1440"/>
          <w:tab w:val="left" w:pos="1080"/>
        </w:tabs>
        <w:ind w:left="1080" w:hanging="360"/>
        <w:jc w:val="both"/>
        <w:rPr>
          <w:szCs w:val="22"/>
        </w:rPr>
      </w:pPr>
    </w:p>
    <w:p w:rsidR="00275471" w:rsidRPr="00633442" w:rsidRDefault="00275471" w:rsidP="00633442">
      <w:pPr>
        <w:tabs>
          <w:tab w:val="clear" w:pos="1440"/>
          <w:tab w:val="left" w:pos="1080"/>
        </w:tabs>
        <w:ind w:left="1080" w:hanging="360"/>
        <w:jc w:val="both"/>
        <w:rPr>
          <w:szCs w:val="22"/>
        </w:rPr>
      </w:pPr>
      <w:r>
        <w:rPr>
          <w:szCs w:val="22"/>
        </w:rPr>
        <w:t>(ii)</w:t>
      </w:r>
      <w:r>
        <w:rPr>
          <w:szCs w:val="22"/>
        </w:rPr>
        <w:tab/>
        <w:t>Proposed amendments to the Articles of Association of KIB to facilitate the implementation of the Proposed Transfer Listing (“Proposed Amendments”).</w:t>
      </w:r>
    </w:p>
    <w:p w:rsidR="00712018" w:rsidRPr="00633442" w:rsidRDefault="00712018" w:rsidP="00633442">
      <w:pPr>
        <w:tabs>
          <w:tab w:val="clear" w:pos="1440"/>
          <w:tab w:val="left" w:pos="1080"/>
        </w:tabs>
        <w:rPr>
          <w:szCs w:val="22"/>
          <w:lang w:eastAsia="zh-CN"/>
        </w:rPr>
      </w:pPr>
    </w:p>
    <w:p w:rsidR="00275471" w:rsidRPr="00633442" w:rsidRDefault="00275471" w:rsidP="00633442">
      <w:pPr>
        <w:tabs>
          <w:tab w:val="clear" w:pos="1440"/>
          <w:tab w:val="left" w:pos="1080"/>
        </w:tabs>
        <w:ind w:left="720"/>
        <w:rPr>
          <w:szCs w:val="22"/>
          <w:lang w:eastAsia="zh-CN"/>
        </w:rPr>
      </w:pPr>
      <w:r>
        <w:rPr>
          <w:szCs w:val="22"/>
          <w:lang w:eastAsia="zh-CN"/>
        </w:rPr>
        <w:t>The applications to the relevant authorities on the Proposed Transfer Listing a</w:t>
      </w:r>
      <w:r w:rsidR="00266DA2">
        <w:rPr>
          <w:szCs w:val="22"/>
          <w:lang w:eastAsia="zh-CN"/>
        </w:rPr>
        <w:t>r</w:t>
      </w:r>
      <w:r w:rsidR="00975347">
        <w:rPr>
          <w:szCs w:val="22"/>
          <w:lang w:eastAsia="zh-CN"/>
        </w:rPr>
        <w:t>e expected to be made within two</w:t>
      </w:r>
      <w:r>
        <w:rPr>
          <w:szCs w:val="22"/>
          <w:lang w:eastAsia="zh-CN"/>
        </w:rPr>
        <w:t xml:space="preserve"> (</w:t>
      </w:r>
      <w:r w:rsidR="00975347">
        <w:rPr>
          <w:szCs w:val="22"/>
          <w:lang w:eastAsia="zh-CN"/>
        </w:rPr>
        <w:t>2</w:t>
      </w:r>
      <w:r>
        <w:rPr>
          <w:szCs w:val="22"/>
          <w:lang w:eastAsia="zh-CN"/>
        </w:rPr>
        <w:t>) months from the date of the announcement.</w:t>
      </w:r>
    </w:p>
    <w:p w:rsidR="00712018" w:rsidRDefault="00122EF4" w:rsidP="00275471">
      <w:pPr>
        <w:ind w:left="720"/>
        <w:jc w:val="both"/>
        <w:rPr>
          <w:sz w:val="20"/>
        </w:rPr>
      </w:pPr>
      <w:r w:rsidRPr="00663610">
        <w:rPr>
          <w:rFonts w:hint="eastAsia"/>
          <w:b/>
          <w:szCs w:val="22"/>
          <w:lang w:eastAsia="zh-CN"/>
        </w:rPr>
        <w:tab/>
      </w:r>
    </w:p>
    <w:p w:rsidR="006C0762" w:rsidRPr="00663610" w:rsidRDefault="002B2AC8" w:rsidP="00633442">
      <w:pPr>
        <w:pStyle w:val="BodyText"/>
        <w:spacing w:line="235" w:lineRule="auto"/>
        <w:jc w:val="left"/>
        <w:rPr>
          <w:b/>
          <w:bCs/>
          <w:szCs w:val="22"/>
        </w:rPr>
      </w:pPr>
      <w:r w:rsidRPr="00663610">
        <w:rPr>
          <w:rFonts w:hint="eastAsia"/>
          <w:b/>
          <w:bCs/>
          <w:szCs w:val="22"/>
          <w:lang w:eastAsia="zh-CN"/>
        </w:rPr>
        <w:t>2</w:t>
      </w:r>
      <w:r w:rsidR="00E53573" w:rsidRPr="00663610">
        <w:rPr>
          <w:b/>
          <w:bCs/>
          <w:szCs w:val="22"/>
          <w:lang w:eastAsia="zh-CN"/>
        </w:rPr>
        <w:t>1</w:t>
      </w:r>
      <w:r w:rsidR="006C0762" w:rsidRPr="00663610">
        <w:rPr>
          <w:b/>
          <w:bCs/>
          <w:szCs w:val="22"/>
        </w:rPr>
        <w:t>.</w:t>
      </w:r>
      <w:r w:rsidR="006C0762" w:rsidRPr="00663610">
        <w:rPr>
          <w:b/>
          <w:bCs/>
          <w:szCs w:val="22"/>
        </w:rPr>
        <w:tab/>
        <w:t>Group Borrowings and Debt Securities</w:t>
      </w:r>
    </w:p>
    <w:p w:rsidR="006C0762" w:rsidRPr="00663610" w:rsidRDefault="006C0762" w:rsidP="006C0762">
      <w:pPr>
        <w:pStyle w:val="BodyText"/>
        <w:rPr>
          <w:szCs w:val="22"/>
        </w:rPr>
      </w:pPr>
      <w:r w:rsidRPr="00663610">
        <w:rPr>
          <w:szCs w:val="22"/>
        </w:rPr>
        <w:t xml:space="preserve">              </w:t>
      </w:r>
    </w:p>
    <w:p w:rsidR="006C0762" w:rsidRPr="00663610" w:rsidRDefault="006C0762" w:rsidP="006C0762">
      <w:pPr>
        <w:pStyle w:val="BodyText"/>
        <w:ind w:left="720" w:hanging="720"/>
        <w:rPr>
          <w:szCs w:val="22"/>
        </w:rPr>
      </w:pPr>
      <w:r w:rsidRPr="00663610">
        <w:rPr>
          <w:szCs w:val="22"/>
        </w:rPr>
        <w:t xml:space="preserve">             The Group’s borrowings, which are all denominated in Ringgit Malaysia, as at </w:t>
      </w:r>
      <w:r w:rsidR="008B4043">
        <w:rPr>
          <w:szCs w:val="22"/>
          <w:lang w:eastAsia="zh-CN"/>
        </w:rPr>
        <w:t xml:space="preserve">31 </w:t>
      </w:r>
      <w:r w:rsidR="00D048B8">
        <w:rPr>
          <w:szCs w:val="22"/>
          <w:lang w:eastAsia="zh-CN"/>
        </w:rPr>
        <w:t>March 2013</w:t>
      </w:r>
      <w:r w:rsidRPr="00663610">
        <w:rPr>
          <w:szCs w:val="22"/>
        </w:rPr>
        <w:t xml:space="preserve"> are shown below:</w:t>
      </w:r>
    </w:p>
    <w:p w:rsidR="006C0762" w:rsidRPr="00663610" w:rsidRDefault="006C0762" w:rsidP="006C0762">
      <w:pPr>
        <w:pStyle w:val="BodyText"/>
        <w:ind w:left="720" w:hanging="720"/>
        <w:rPr>
          <w:szCs w:val="22"/>
        </w:rPr>
      </w:pPr>
    </w:p>
    <w:tbl>
      <w:tblPr>
        <w:tblW w:w="0" w:type="auto"/>
        <w:tblInd w:w="828" w:type="dxa"/>
        <w:tblLook w:val="0000" w:firstRow="0" w:lastRow="0" w:firstColumn="0" w:lastColumn="0" w:noHBand="0" w:noVBand="0"/>
      </w:tblPr>
      <w:tblGrid>
        <w:gridCol w:w="3240"/>
        <w:gridCol w:w="1710"/>
        <w:gridCol w:w="360"/>
        <w:gridCol w:w="1710"/>
        <w:gridCol w:w="450"/>
        <w:gridCol w:w="1890"/>
      </w:tblGrid>
      <w:tr w:rsidR="006C0762" w:rsidRPr="00663610">
        <w:tc>
          <w:tcPr>
            <w:tcW w:w="3240" w:type="dxa"/>
          </w:tcPr>
          <w:p w:rsidR="006C0762" w:rsidRPr="00663610" w:rsidRDefault="006C0762" w:rsidP="008426DC">
            <w:pPr>
              <w:pStyle w:val="BodyText"/>
              <w:rPr>
                <w:szCs w:val="22"/>
              </w:rPr>
            </w:pPr>
          </w:p>
        </w:tc>
        <w:tc>
          <w:tcPr>
            <w:tcW w:w="1710" w:type="dxa"/>
          </w:tcPr>
          <w:p w:rsidR="006C0762" w:rsidRPr="00663610" w:rsidRDefault="006C0762" w:rsidP="008426DC">
            <w:pPr>
              <w:pStyle w:val="BodyText"/>
              <w:jc w:val="right"/>
              <w:rPr>
                <w:b/>
                <w:bCs/>
                <w:szCs w:val="22"/>
              </w:rPr>
            </w:pPr>
            <w:r w:rsidRPr="00663610">
              <w:rPr>
                <w:b/>
                <w:bCs/>
                <w:szCs w:val="22"/>
              </w:rPr>
              <w:t>Secured</w:t>
            </w:r>
          </w:p>
          <w:p w:rsidR="006C0762" w:rsidRPr="00663610" w:rsidRDefault="006C0762" w:rsidP="008426DC">
            <w:pPr>
              <w:pStyle w:val="BodyText"/>
              <w:jc w:val="right"/>
              <w:rPr>
                <w:b/>
                <w:bCs/>
                <w:szCs w:val="22"/>
              </w:rPr>
            </w:pPr>
            <w:r w:rsidRPr="00663610">
              <w:rPr>
                <w:b/>
                <w:bCs/>
                <w:szCs w:val="22"/>
              </w:rPr>
              <w:t>RM’000</w:t>
            </w:r>
          </w:p>
        </w:tc>
        <w:tc>
          <w:tcPr>
            <w:tcW w:w="360" w:type="dxa"/>
          </w:tcPr>
          <w:p w:rsidR="006C0762" w:rsidRPr="00663610" w:rsidRDefault="006C0762" w:rsidP="008426DC">
            <w:pPr>
              <w:pStyle w:val="BodyText"/>
              <w:jc w:val="right"/>
              <w:rPr>
                <w:b/>
                <w:bCs/>
                <w:szCs w:val="22"/>
              </w:rPr>
            </w:pPr>
          </w:p>
        </w:tc>
        <w:tc>
          <w:tcPr>
            <w:tcW w:w="1710" w:type="dxa"/>
          </w:tcPr>
          <w:p w:rsidR="006C0762" w:rsidRPr="00663610" w:rsidRDefault="006C0762" w:rsidP="008426DC">
            <w:pPr>
              <w:pStyle w:val="BodyText"/>
              <w:jc w:val="right"/>
              <w:rPr>
                <w:b/>
                <w:bCs/>
                <w:szCs w:val="22"/>
              </w:rPr>
            </w:pPr>
            <w:r w:rsidRPr="00663610">
              <w:rPr>
                <w:b/>
                <w:bCs/>
                <w:szCs w:val="22"/>
              </w:rPr>
              <w:t>Unsecured</w:t>
            </w:r>
          </w:p>
          <w:p w:rsidR="006C0762" w:rsidRPr="00663610" w:rsidRDefault="006C0762" w:rsidP="008426DC">
            <w:pPr>
              <w:pStyle w:val="BodyText"/>
              <w:jc w:val="right"/>
              <w:rPr>
                <w:b/>
                <w:bCs/>
                <w:szCs w:val="22"/>
              </w:rPr>
            </w:pPr>
            <w:r w:rsidRPr="00663610">
              <w:rPr>
                <w:b/>
                <w:bCs/>
                <w:szCs w:val="22"/>
              </w:rPr>
              <w:t>RM’000</w:t>
            </w:r>
          </w:p>
        </w:tc>
        <w:tc>
          <w:tcPr>
            <w:tcW w:w="450" w:type="dxa"/>
          </w:tcPr>
          <w:p w:rsidR="006C0762" w:rsidRPr="00663610" w:rsidRDefault="006C0762" w:rsidP="008426DC">
            <w:pPr>
              <w:pStyle w:val="BodyText"/>
              <w:jc w:val="right"/>
              <w:rPr>
                <w:b/>
                <w:bCs/>
                <w:szCs w:val="22"/>
              </w:rPr>
            </w:pPr>
          </w:p>
        </w:tc>
        <w:tc>
          <w:tcPr>
            <w:tcW w:w="1890" w:type="dxa"/>
          </w:tcPr>
          <w:p w:rsidR="006C0762" w:rsidRPr="00663610" w:rsidRDefault="006C0762" w:rsidP="008426DC">
            <w:pPr>
              <w:pStyle w:val="BodyText"/>
              <w:jc w:val="right"/>
              <w:rPr>
                <w:b/>
                <w:bCs/>
                <w:szCs w:val="22"/>
              </w:rPr>
            </w:pPr>
            <w:r w:rsidRPr="00663610">
              <w:rPr>
                <w:b/>
                <w:bCs/>
                <w:szCs w:val="22"/>
              </w:rPr>
              <w:t>Total</w:t>
            </w:r>
          </w:p>
          <w:p w:rsidR="006C0762" w:rsidRPr="00663610" w:rsidRDefault="006C0762" w:rsidP="008426DC">
            <w:pPr>
              <w:pStyle w:val="BodyText"/>
              <w:jc w:val="right"/>
              <w:rPr>
                <w:b/>
                <w:bCs/>
                <w:szCs w:val="22"/>
              </w:rPr>
            </w:pPr>
            <w:r w:rsidRPr="00663610">
              <w:rPr>
                <w:b/>
                <w:bCs/>
                <w:szCs w:val="22"/>
              </w:rPr>
              <w:t>RM’000</w:t>
            </w:r>
          </w:p>
        </w:tc>
      </w:tr>
      <w:tr w:rsidR="000961D8" w:rsidRPr="00663610">
        <w:tc>
          <w:tcPr>
            <w:tcW w:w="3240" w:type="dxa"/>
          </w:tcPr>
          <w:p w:rsidR="000961D8" w:rsidRPr="00663610" w:rsidRDefault="000961D8" w:rsidP="008426DC">
            <w:pPr>
              <w:pStyle w:val="BodyText"/>
              <w:rPr>
                <w:b/>
                <w:bCs/>
                <w:szCs w:val="22"/>
              </w:rPr>
            </w:pPr>
            <w:r w:rsidRPr="00663610">
              <w:rPr>
                <w:b/>
                <w:bCs/>
                <w:szCs w:val="22"/>
              </w:rPr>
              <w:t>Long Term Borrowings</w:t>
            </w:r>
          </w:p>
        </w:tc>
        <w:tc>
          <w:tcPr>
            <w:tcW w:w="1710" w:type="dxa"/>
          </w:tcPr>
          <w:p w:rsidR="000961D8" w:rsidRPr="00663610" w:rsidRDefault="000961D8" w:rsidP="008426DC">
            <w:pPr>
              <w:pStyle w:val="BodyText"/>
              <w:rPr>
                <w:szCs w:val="22"/>
              </w:rPr>
            </w:pPr>
          </w:p>
        </w:tc>
        <w:tc>
          <w:tcPr>
            <w:tcW w:w="360" w:type="dxa"/>
          </w:tcPr>
          <w:p w:rsidR="000961D8" w:rsidRPr="00663610" w:rsidRDefault="000961D8" w:rsidP="008426DC">
            <w:pPr>
              <w:pStyle w:val="BodyText"/>
              <w:rPr>
                <w:szCs w:val="22"/>
              </w:rPr>
            </w:pPr>
          </w:p>
        </w:tc>
        <w:tc>
          <w:tcPr>
            <w:tcW w:w="1710" w:type="dxa"/>
          </w:tcPr>
          <w:p w:rsidR="000961D8" w:rsidRPr="00663610" w:rsidRDefault="000961D8" w:rsidP="008426DC">
            <w:pPr>
              <w:pStyle w:val="BodyText"/>
              <w:rPr>
                <w:szCs w:val="22"/>
              </w:rPr>
            </w:pPr>
          </w:p>
        </w:tc>
        <w:tc>
          <w:tcPr>
            <w:tcW w:w="450" w:type="dxa"/>
          </w:tcPr>
          <w:p w:rsidR="000961D8" w:rsidRPr="00663610" w:rsidRDefault="000961D8" w:rsidP="008426DC">
            <w:pPr>
              <w:pStyle w:val="BodyText"/>
              <w:rPr>
                <w:szCs w:val="22"/>
              </w:rPr>
            </w:pPr>
          </w:p>
        </w:tc>
        <w:tc>
          <w:tcPr>
            <w:tcW w:w="1890" w:type="dxa"/>
          </w:tcPr>
          <w:p w:rsidR="000961D8" w:rsidRPr="00663610" w:rsidRDefault="000961D8" w:rsidP="008426DC">
            <w:pPr>
              <w:pStyle w:val="BodyText"/>
              <w:rPr>
                <w:szCs w:val="22"/>
              </w:rPr>
            </w:pPr>
          </w:p>
        </w:tc>
      </w:tr>
      <w:tr w:rsidR="00C20A07" w:rsidRPr="00663610">
        <w:tc>
          <w:tcPr>
            <w:tcW w:w="3240" w:type="dxa"/>
          </w:tcPr>
          <w:p w:rsidR="00C20A07" w:rsidRPr="00663610" w:rsidRDefault="00C20A07" w:rsidP="008426DC">
            <w:pPr>
              <w:pStyle w:val="BodyText"/>
              <w:rPr>
                <w:szCs w:val="22"/>
              </w:rPr>
            </w:pPr>
            <w:r w:rsidRPr="00663610">
              <w:rPr>
                <w:szCs w:val="22"/>
              </w:rPr>
              <w:t>Term loans</w:t>
            </w:r>
          </w:p>
        </w:tc>
        <w:tc>
          <w:tcPr>
            <w:tcW w:w="1710" w:type="dxa"/>
            <w:tcBorders>
              <w:bottom w:val="single" w:sz="4" w:space="0" w:color="auto"/>
            </w:tcBorders>
          </w:tcPr>
          <w:p w:rsidR="00C20A07" w:rsidRPr="00663610" w:rsidRDefault="00D048B8" w:rsidP="000424A8">
            <w:pPr>
              <w:pStyle w:val="BodyText"/>
              <w:jc w:val="right"/>
              <w:rPr>
                <w:szCs w:val="22"/>
                <w:lang w:eastAsia="zh-CN"/>
              </w:rPr>
            </w:pPr>
            <w:r>
              <w:rPr>
                <w:szCs w:val="22"/>
                <w:lang w:eastAsia="zh-CN"/>
              </w:rPr>
              <w:t>293</w:t>
            </w:r>
          </w:p>
        </w:tc>
        <w:tc>
          <w:tcPr>
            <w:tcW w:w="360" w:type="dxa"/>
          </w:tcPr>
          <w:p w:rsidR="00C20A07" w:rsidRPr="00663610" w:rsidRDefault="00C20A07" w:rsidP="008426DC">
            <w:pPr>
              <w:pStyle w:val="BodyText"/>
              <w:jc w:val="right"/>
              <w:rPr>
                <w:szCs w:val="22"/>
              </w:rPr>
            </w:pPr>
          </w:p>
        </w:tc>
        <w:tc>
          <w:tcPr>
            <w:tcW w:w="1710" w:type="dxa"/>
            <w:tcBorders>
              <w:bottom w:val="single" w:sz="4" w:space="0" w:color="auto"/>
            </w:tcBorders>
          </w:tcPr>
          <w:p w:rsidR="00C20A07" w:rsidRPr="00663610" w:rsidRDefault="00C20A07" w:rsidP="00F82BA0">
            <w:pPr>
              <w:pStyle w:val="BodyText"/>
              <w:jc w:val="right"/>
              <w:rPr>
                <w:szCs w:val="22"/>
                <w:lang w:eastAsia="zh-CN"/>
              </w:rPr>
            </w:pPr>
            <w:r w:rsidRPr="00663610">
              <w:rPr>
                <w:szCs w:val="22"/>
                <w:lang w:eastAsia="zh-CN"/>
              </w:rPr>
              <w:t>-</w:t>
            </w:r>
          </w:p>
        </w:tc>
        <w:tc>
          <w:tcPr>
            <w:tcW w:w="450" w:type="dxa"/>
          </w:tcPr>
          <w:p w:rsidR="00C20A07" w:rsidRPr="00663610" w:rsidRDefault="00C20A07" w:rsidP="008426DC">
            <w:pPr>
              <w:pStyle w:val="BodyText"/>
              <w:jc w:val="right"/>
              <w:rPr>
                <w:szCs w:val="22"/>
              </w:rPr>
            </w:pPr>
          </w:p>
        </w:tc>
        <w:tc>
          <w:tcPr>
            <w:tcW w:w="1890" w:type="dxa"/>
            <w:tcBorders>
              <w:bottom w:val="single" w:sz="4" w:space="0" w:color="auto"/>
            </w:tcBorders>
          </w:tcPr>
          <w:p w:rsidR="00C20A07" w:rsidRPr="00663610" w:rsidRDefault="00D048B8" w:rsidP="008A6B21">
            <w:pPr>
              <w:pStyle w:val="BodyText"/>
              <w:jc w:val="right"/>
              <w:rPr>
                <w:szCs w:val="22"/>
                <w:lang w:eastAsia="zh-CN"/>
              </w:rPr>
            </w:pPr>
            <w:r>
              <w:rPr>
                <w:szCs w:val="22"/>
                <w:lang w:eastAsia="zh-CN"/>
              </w:rPr>
              <w:t>293</w:t>
            </w:r>
          </w:p>
        </w:tc>
      </w:tr>
      <w:tr w:rsidR="000D660A" w:rsidRPr="00663610">
        <w:tc>
          <w:tcPr>
            <w:tcW w:w="3240" w:type="dxa"/>
          </w:tcPr>
          <w:p w:rsidR="000D660A" w:rsidRDefault="000D660A" w:rsidP="008426DC">
            <w:pPr>
              <w:pStyle w:val="BodyText"/>
              <w:rPr>
                <w:b/>
                <w:bCs/>
                <w:szCs w:val="22"/>
                <w:lang w:eastAsia="zh-CN"/>
              </w:rPr>
            </w:pPr>
          </w:p>
        </w:tc>
        <w:tc>
          <w:tcPr>
            <w:tcW w:w="1710" w:type="dxa"/>
          </w:tcPr>
          <w:p w:rsidR="000D660A" w:rsidRPr="007F7D22" w:rsidRDefault="000D660A" w:rsidP="000424A8">
            <w:pPr>
              <w:pStyle w:val="BodyText"/>
              <w:jc w:val="right"/>
              <w:rPr>
                <w:b/>
                <w:szCs w:val="22"/>
              </w:rPr>
            </w:pPr>
            <w:r w:rsidRPr="007F7D22">
              <w:rPr>
                <w:b/>
                <w:szCs w:val="22"/>
              </w:rPr>
              <w:t>293</w:t>
            </w:r>
          </w:p>
        </w:tc>
        <w:tc>
          <w:tcPr>
            <w:tcW w:w="360" w:type="dxa"/>
          </w:tcPr>
          <w:p w:rsidR="000D660A" w:rsidRPr="00663610" w:rsidRDefault="000D660A" w:rsidP="008426DC">
            <w:pPr>
              <w:pStyle w:val="BodyText"/>
              <w:jc w:val="right"/>
              <w:rPr>
                <w:szCs w:val="22"/>
              </w:rPr>
            </w:pPr>
          </w:p>
        </w:tc>
        <w:tc>
          <w:tcPr>
            <w:tcW w:w="1710" w:type="dxa"/>
          </w:tcPr>
          <w:p w:rsidR="000D660A" w:rsidRPr="007F7D22" w:rsidRDefault="000D660A" w:rsidP="008426DC">
            <w:pPr>
              <w:pStyle w:val="BodyText"/>
              <w:jc w:val="right"/>
              <w:rPr>
                <w:b/>
                <w:szCs w:val="22"/>
              </w:rPr>
            </w:pPr>
            <w:r w:rsidRPr="007F7D22">
              <w:rPr>
                <w:b/>
                <w:szCs w:val="22"/>
              </w:rPr>
              <w:t>-</w:t>
            </w:r>
          </w:p>
        </w:tc>
        <w:tc>
          <w:tcPr>
            <w:tcW w:w="450" w:type="dxa"/>
          </w:tcPr>
          <w:p w:rsidR="000D660A" w:rsidRPr="00663610" w:rsidRDefault="000D660A" w:rsidP="008426DC">
            <w:pPr>
              <w:pStyle w:val="BodyText"/>
              <w:jc w:val="right"/>
              <w:rPr>
                <w:szCs w:val="22"/>
              </w:rPr>
            </w:pPr>
          </w:p>
        </w:tc>
        <w:tc>
          <w:tcPr>
            <w:tcW w:w="1890" w:type="dxa"/>
          </w:tcPr>
          <w:p w:rsidR="000D660A" w:rsidRPr="007F7D22" w:rsidRDefault="000D660A" w:rsidP="008A6B21">
            <w:pPr>
              <w:pStyle w:val="BodyText"/>
              <w:jc w:val="right"/>
              <w:rPr>
                <w:b/>
                <w:szCs w:val="22"/>
              </w:rPr>
            </w:pPr>
            <w:r w:rsidRPr="007F7D22">
              <w:rPr>
                <w:b/>
                <w:szCs w:val="22"/>
              </w:rPr>
              <w:t>293</w:t>
            </w:r>
          </w:p>
        </w:tc>
      </w:tr>
      <w:tr w:rsidR="00C20A07" w:rsidRPr="00663610">
        <w:tc>
          <w:tcPr>
            <w:tcW w:w="3240" w:type="dxa"/>
          </w:tcPr>
          <w:p w:rsidR="009E7231" w:rsidRDefault="009E7231" w:rsidP="008426DC">
            <w:pPr>
              <w:pStyle w:val="BodyText"/>
              <w:rPr>
                <w:b/>
                <w:bCs/>
                <w:szCs w:val="22"/>
                <w:lang w:eastAsia="zh-CN"/>
              </w:rPr>
            </w:pPr>
          </w:p>
          <w:p w:rsidR="00C20A07" w:rsidRPr="00663610" w:rsidRDefault="00C20A07" w:rsidP="008426DC">
            <w:pPr>
              <w:pStyle w:val="BodyText"/>
              <w:rPr>
                <w:b/>
                <w:bCs/>
                <w:szCs w:val="22"/>
              </w:rPr>
            </w:pPr>
            <w:r w:rsidRPr="00663610">
              <w:rPr>
                <w:b/>
                <w:bCs/>
                <w:szCs w:val="22"/>
              </w:rPr>
              <w:t>Short Term Borrowings</w:t>
            </w:r>
          </w:p>
        </w:tc>
        <w:tc>
          <w:tcPr>
            <w:tcW w:w="1710" w:type="dxa"/>
          </w:tcPr>
          <w:p w:rsidR="00C20A07" w:rsidRPr="00663610" w:rsidRDefault="00C20A07" w:rsidP="000424A8">
            <w:pPr>
              <w:pStyle w:val="BodyText"/>
              <w:jc w:val="right"/>
              <w:rPr>
                <w:szCs w:val="22"/>
              </w:rPr>
            </w:pPr>
          </w:p>
        </w:tc>
        <w:tc>
          <w:tcPr>
            <w:tcW w:w="360" w:type="dxa"/>
          </w:tcPr>
          <w:p w:rsidR="00C20A07" w:rsidRPr="00663610" w:rsidRDefault="00C20A07" w:rsidP="008426DC">
            <w:pPr>
              <w:pStyle w:val="BodyText"/>
              <w:jc w:val="right"/>
              <w:rPr>
                <w:szCs w:val="22"/>
              </w:rPr>
            </w:pPr>
          </w:p>
        </w:tc>
        <w:tc>
          <w:tcPr>
            <w:tcW w:w="1710" w:type="dxa"/>
          </w:tcPr>
          <w:p w:rsidR="00C20A07" w:rsidRPr="00663610" w:rsidRDefault="00C20A07" w:rsidP="008426DC">
            <w:pPr>
              <w:pStyle w:val="BodyText"/>
              <w:jc w:val="right"/>
              <w:rPr>
                <w:szCs w:val="22"/>
              </w:rPr>
            </w:pPr>
          </w:p>
        </w:tc>
        <w:tc>
          <w:tcPr>
            <w:tcW w:w="450" w:type="dxa"/>
          </w:tcPr>
          <w:p w:rsidR="00C20A07" w:rsidRPr="00663610" w:rsidRDefault="00C20A07" w:rsidP="008426DC">
            <w:pPr>
              <w:pStyle w:val="BodyText"/>
              <w:jc w:val="right"/>
              <w:rPr>
                <w:szCs w:val="22"/>
              </w:rPr>
            </w:pPr>
          </w:p>
        </w:tc>
        <w:tc>
          <w:tcPr>
            <w:tcW w:w="1890" w:type="dxa"/>
          </w:tcPr>
          <w:p w:rsidR="00C20A07" w:rsidRPr="00663610" w:rsidRDefault="00C20A07" w:rsidP="008A6B21">
            <w:pPr>
              <w:pStyle w:val="BodyText"/>
              <w:jc w:val="right"/>
              <w:rPr>
                <w:szCs w:val="22"/>
              </w:rPr>
            </w:pPr>
          </w:p>
        </w:tc>
      </w:tr>
      <w:tr w:rsidR="00C20A07" w:rsidRPr="00663610">
        <w:tc>
          <w:tcPr>
            <w:tcW w:w="3240" w:type="dxa"/>
          </w:tcPr>
          <w:p w:rsidR="00C20A07" w:rsidRPr="00663610" w:rsidRDefault="00C20A07" w:rsidP="008426DC">
            <w:pPr>
              <w:pStyle w:val="BodyText"/>
              <w:rPr>
                <w:szCs w:val="22"/>
              </w:rPr>
            </w:pPr>
            <w:r w:rsidRPr="00663610">
              <w:rPr>
                <w:szCs w:val="22"/>
              </w:rPr>
              <w:t>Term loans</w:t>
            </w:r>
          </w:p>
        </w:tc>
        <w:tc>
          <w:tcPr>
            <w:tcW w:w="1710" w:type="dxa"/>
            <w:tcBorders>
              <w:bottom w:val="single" w:sz="4" w:space="0" w:color="auto"/>
            </w:tcBorders>
          </w:tcPr>
          <w:p w:rsidR="00C20A07" w:rsidRPr="00663610" w:rsidRDefault="00C20A07" w:rsidP="00CD4558">
            <w:pPr>
              <w:pStyle w:val="BodyText"/>
              <w:jc w:val="right"/>
              <w:rPr>
                <w:szCs w:val="22"/>
                <w:lang w:eastAsia="zh-CN"/>
              </w:rPr>
            </w:pPr>
            <w:r w:rsidRPr="00663610">
              <w:rPr>
                <w:rFonts w:hint="eastAsia"/>
                <w:szCs w:val="22"/>
                <w:lang w:eastAsia="zh-CN"/>
              </w:rPr>
              <w:t>27</w:t>
            </w:r>
            <w:r w:rsidR="001561A2">
              <w:rPr>
                <w:szCs w:val="22"/>
                <w:lang w:eastAsia="zh-CN"/>
              </w:rPr>
              <w:t>3</w:t>
            </w:r>
          </w:p>
        </w:tc>
        <w:tc>
          <w:tcPr>
            <w:tcW w:w="360" w:type="dxa"/>
          </w:tcPr>
          <w:p w:rsidR="00C20A07" w:rsidRPr="00663610" w:rsidRDefault="00C20A07" w:rsidP="008426DC">
            <w:pPr>
              <w:pStyle w:val="BodyText"/>
              <w:jc w:val="right"/>
              <w:rPr>
                <w:szCs w:val="22"/>
                <w:lang w:eastAsia="zh-CN"/>
              </w:rPr>
            </w:pPr>
          </w:p>
        </w:tc>
        <w:tc>
          <w:tcPr>
            <w:tcW w:w="1710" w:type="dxa"/>
            <w:tcBorders>
              <w:bottom w:val="single" w:sz="4" w:space="0" w:color="auto"/>
            </w:tcBorders>
          </w:tcPr>
          <w:p w:rsidR="00C20A07" w:rsidRPr="00663610" w:rsidRDefault="00C20A07" w:rsidP="008426DC">
            <w:pPr>
              <w:pStyle w:val="BodyText"/>
              <w:jc w:val="right"/>
              <w:rPr>
                <w:szCs w:val="22"/>
              </w:rPr>
            </w:pPr>
            <w:r w:rsidRPr="00663610">
              <w:rPr>
                <w:szCs w:val="22"/>
              </w:rPr>
              <w:t>-</w:t>
            </w:r>
          </w:p>
        </w:tc>
        <w:tc>
          <w:tcPr>
            <w:tcW w:w="450" w:type="dxa"/>
          </w:tcPr>
          <w:p w:rsidR="00C20A07" w:rsidRPr="00663610" w:rsidRDefault="00C20A07" w:rsidP="008426DC">
            <w:pPr>
              <w:pStyle w:val="BodyText"/>
              <w:jc w:val="right"/>
              <w:rPr>
                <w:szCs w:val="22"/>
              </w:rPr>
            </w:pPr>
          </w:p>
        </w:tc>
        <w:tc>
          <w:tcPr>
            <w:tcW w:w="1890" w:type="dxa"/>
            <w:tcBorders>
              <w:bottom w:val="single" w:sz="4" w:space="0" w:color="auto"/>
            </w:tcBorders>
          </w:tcPr>
          <w:p w:rsidR="00C20A07" w:rsidRPr="00663610" w:rsidRDefault="00C20A07" w:rsidP="008A6B21">
            <w:pPr>
              <w:pStyle w:val="BodyText"/>
              <w:jc w:val="right"/>
              <w:rPr>
                <w:szCs w:val="22"/>
                <w:lang w:eastAsia="zh-CN"/>
              </w:rPr>
            </w:pPr>
            <w:r w:rsidRPr="00663610">
              <w:rPr>
                <w:rFonts w:hint="eastAsia"/>
                <w:szCs w:val="22"/>
                <w:lang w:eastAsia="zh-CN"/>
              </w:rPr>
              <w:t>27</w:t>
            </w:r>
            <w:r w:rsidR="001561A2">
              <w:rPr>
                <w:szCs w:val="22"/>
                <w:lang w:eastAsia="zh-CN"/>
              </w:rPr>
              <w:t>3</w:t>
            </w:r>
          </w:p>
        </w:tc>
      </w:tr>
      <w:tr w:rsidR="00C20A07" w:rsidRPr="00663610">
        <w:tc>
          <w:tcPr>
            <w:tcW w:w="3240" w:type="dxa"/>
          </w:tcPr>
          <w:p w:rsidR="00C20A07" w:rsidRPr="00663610" w:rsidRDefault="00C20A07" w:rsidP="008426DC">
            <w:pPr>
              <w:pStyle w:val="BodyText"/>
              <w:rPr>
                <w:szCs w:val="22"/>
              </w:rPr>
            </w:pPr>
          </w:p>
        </w:tc>
        <w:tc>
          <w:tcPr>
            <w:tcW w:w="1710" w:type="dxa"/>
            <w:tcBorders>
              <w:top w:val="single" w:sz="4" w:space="0" w:color="auto"/>
            </w:tcBorders>
          </w:tcPr>
          <w:p w:rsidR="00C20A07" w:rsidRPr="00663610" w:rsidRDefault="008B4043" w:rsidP="008B4D86">
            <w:pPr>
              <w:pStyle w:val="BodyText"/>
              <w:jc w:val="right"/>
              <w:rPr>
                <w:b/>
                <w:bCs/>
                <w:szCs w:val="22"/>
                <w:lang w:eastAsia="zh-CN"/>
              </w:rPr>
            </w:pPr>
            <w:r>
              <w:rPr>
                <w:b/>
                <w:bCs/>
                <w:szCs w:val="22"/>
                <w:lang w:eastAsia="zh-CN"/>
              </w:rPr>
              <w:t>27</w:t>
            </w:r>
            <w:r w:rsidR="001A0534">
              <w:rPr>
                <w:b/>
                <w:bCs/>
                <w:szCs w:val="22"/>
                <w:lang w:eastAsia="zh-CN"/>
              </w:rPr>
              <w:t>3</w:t>
            </w:r>
          </w:p>
        </w:tc>
        <w:tc>
          <w:tcPr>
            <w:tcW w:w="360" w:type="dxa"/>
          </w:tcPr>
          <w:p w:rsidR="00C20A07" w:rsidRPr="00663610" w:rsidRDefault="00C20A07" w:rsidP="008426DC">
            <w:pPr>
              <w:pStyle w:val="BodyText"/>
              <w:jc w:val="right"/>
              <w:rPr>
                <w:b/>
                <w:bCs/>
                <w:szCs w:val="22"/>
              </w:rPr>
            </w:pPr>
          </w:p>
        </w:tc>
        <w:tc>
          <w:tcPr>
            <w:tcW w:w="1710" w:type="dxa"/>
            <w:tcBorders>
              <w:top w:val="single" w:sz="4" w:space="0" w:color="auto"/>
            </w:tcBorders>
          </w:tcPr>
          <w:p w:rsidR="00C20A07" w:rsidRPr="00663610" w:rsidRDefault="00C20A07" w:rsidP="008426DC">
            <w:pPr>
              <w:pStyle w:val="BodyText"/>
              <w:jc w:val="right"/>
              <w:rPr>
                <w:b/>
                <w:bCs/>
                <w:szCs w:val="22"/>
              </w:rPr>
            </w:pPr>
            <w:r w:rsidRPr="00663610">
              <w:rPr>
                <w:b/>
                <w:bCs/>
                <w:szCs w:val="22"/>
              </w:rPr>
              <w:t>-</w:t>
            </w:r>
          </w:p>
        </w:tc>
        <w:tc>
          <w:tcPr>
            <w:tcW w:w="450" w:type="dxa"/>
          </w:tcPr>
          <w:p w:rsidR="00C20A07" w:rsidRPr="00663610" w:rsidRDefault="00C20A07" w:rsidP="008426DC">
            <w:pPr>
              <w:pStyle w:val="BodyText"/>
              <w:jc w:val="right"/>
              <w:rPr>
                <w:b/>
                <w:bCs/>
                <w:szCs w:val="22"/>
              </w:rPr>
            </w:pPr>
          </w:p>
        </w:tc>
        <w:tc>
          <w:tcPr>
            <w:tcW w:w="1890" w:type="dxa"/>
            <w:tcBorders>
              <w:top w:val="single" w:sz="4" w:space="0" w:color="auto"/>
            </w:tcBorders>
          </w:tcPr>
          <w:p w:rsidR="00C20A07" w:rsidRPr="00663610" w:rsidRDefault="008B4043" w:rsidP="008A6B21">
            <w:pPr>
              <w:pStyle w:val="BodyText"/>
              <w:jc w:val="right"/>
              <w:rPr>
                <w:b/>
                <w:bCs/>
                <w:szCs w:val="22"/>
                <w:lang w:eastAsia="zh-CN"/>
              </w:rPr>
            </w:pPr>
            <w:r>
              <w:rPr>
                <w:b/>
                <w:bCs/>
                <w:szCs w:val="22"/>
                <w:lang w:eastAsia="zh-CN"/>
              </w:rPr>
              <w:t>27</w:t>
            </w:r>
            <w:r w:rsidR="001A0534">
              <w:rPr>
                <w:b/>
                <w:bCs/>
                <w:szCs w:val="22"/>
                <w:lang w:eastAsia="zh-CN"/>
              </w:rPr>
              <w:t>3</w:t>
            </w:r>
          </w:p>
        </w:tc>
      </w:tr>
      <w:tr w:rsidR="00C20A07" w:rsidRPr="00663610">
        <w:tc>
          <w:tcPr>
            <w:tcW w:w="3240" w:type="dxa"/>
          </w:tcPr>
          <w:p w:rsidR="00C20A07" w:rsidRPr="00663610" w:rsidRDefault="00C20A07" w:rsidP="008426DC">
            <w:pPr>
              <w:pStyle w:val="BodyText"/>
              <w:rPr>
                <w:szCs w:val="22"/>
              </w:rPr>
            </w:pPr>
          </w:p>
        </w:tc>
        <w:tc>
          <w:tcPr>
            <w:tcW w:w="1710" w:type="dxa"/>
            <w:tcBorders>
              <w:bottom w:val="single" w:sz="4" w:space="0" w:color="auto"/>
            </w:tcBorders>
          </w:tcPr>
          <w:p w:rsidR="00C20A07" w:rsidRPr="00663610" w:rsidRDefault="00C20A07" w:rsidP="000424A8">
            <w:pPr>
              <w:pStyle w:val="BodyText"/>
              <w:jc w:val="right"/>
              <w:rPr>
                <w:szCs w:val="22"/>
              </w:rPr>
            </w:pPr>
          </w:p>
        </w:tc>
        <w:tc>
          <w:tcPr>
            <w:tcW w:w="360" w:type="dxa"/>
          </w:tcPr>
          <w:p w:rsidR="00C20A07" w:rsidRPr="00663610" w:rsidRDefault="00C20A07" w:rsidP="008426DC">
            <w:pPr>
              <w:pStyle w:val="BodyText"/>
              <w:jc w:val="right"/>
              <w:rPr>
                <w:szCs w:val="22"/>
              </w:rPr>
            </w:pPr>
          </w:p>
        </w:tc>
        <w:tc>
          <w:tcPr>
            <w:tcW w:w="1710" w:type="dxa"/>
            <w:tcBorders>
              <w:bottom w:val="single" w:sz="4" w:space="0" w:color="auto"/>
            </w:tcBorders>
          </w:tcPr>
          <w:p w:rsidR="00C20A07" w:rsidRPr="00663610" w:rsidRDefault="00C20A07" w:rsidP="008426DC">
            <w:pPr>
              <w:pStyle w:val="BodyText"/>
              <w:jc w:val="right"/>
              <w:rPr>
                <w:szCs w:val="22"/>
              </w:rPr>
            </w:pPr>
          </w:p>
        </w:tc>
        <w:tc>
          <w:tcPr>
            <w:tcW w:w="450" w:type="dxa"/>
          </w:tcPr>
          <w:p w:rsidR="00C20A07" w:rsidRPr="00663610" w:rsidRDefault="00C20A07" w:rsidP="008426DC">
            <w:pPr>
              <w:pStyle w:val="BodyText"/>
              <w:jc w:val="right"/>
              <w:rPr>
                <w:szCs w:val="22"/>
              </w:rPr>
            </w:pPr>
          </w:p>
        </w:tc>
        <w:tc>
          <w:tcPr>
            <w:tcW w:w="1890" w:type="dxa"/>
            <w:tcBorders>
              <w:bottom w:val="single" w:sz="4" w:space="0" w:color="auto"/>
            </w:tcBorders>
          </w:tcPr>
          <w:p w:rsidR="00C20A07" w:rsidRPr="00663610" w:rsidRDefault="00C20A07" w:rsidP="008A6B21">
            <w:pPr>
              <w:pStyle w:val="BodyText"/>
              <w:jc w:val="right"/>
              <w:rPr>
                <w:szCs w:val="22"/>
              </w:rPr>
            </w:pPr>
          </w:p>
        </w:tc>
      </w:tr>
      <w:tr w:rsidR="00C20A07" w:rsidRPr="00663610">
        <w:tc>
          <w:tcPr>
            <w:tcW w:w="3240" w:type="dxa"/>
          </w:tcPr>
          <w:p w:rsidR="00C20A07" w:rsidRPr="00663610" w:rsidRDefault="00C20A07" w:rsidP="008426DC">
            <w:pPr>
              <w:pStyle w:val="BodyText"/>
              <w:rPr>
                <w:b/>
                <w:bCs/>
                <w:szCs w:val="22"/>
              </w:rPr>
            </w:pPr>
            <w:r w:rsidRPr="00663610">
              <w:rPr>
                <w:b/>
                <w:bCs/>
                <w:szCs w:val="22"/>
              </w:rPr>
              <w:t>Total</w:t>
            </w:r>
          </w:p>
        </w:tc>
        <w:tc>
          <w:tcPr>
            <w:tcW w:w="1710" w:type="dxa"/>
            <w:tcBorders>
              <w:top w:val="single" w:sz="4" w:space="0" w:color="auto"/>
              <w:bottom w:val="double" w:sz="4" w:space="0" w:color="auto"/>
            </w:tcBorders>
          </w:tcPr>
          <w:p w:rsidR="00C20A07" w:rsidRPr="00663610" w:rsidRDefault="000416F2" w:rsidP="00C20A07">
            <w:pPr>
              <w:pStyle w:val="BodyText"/>
              <w:jc w:val="right"/>
              <w:rPr>
                <w:b/>
                <w:bCs/>
                <w:szCs w:val="22"/>
                <w:lang w:eastAsia="zh-CN"/>
              </w:rPr>
            </w:pPr>
            <w:r>
              <w:rPr>
                <w:b/>
                <w:bCs/>
                <w:szCs w:val="22"/>
                <w:lang w:eastAsia="zh-CN"/>
              </w:rPr>
              <w:t>566</w:t>
            </w:r>
          </w:p>
        </w:tc>
        <w:tc>
          <w:tcPr>
            <w:tcW w:w="360" w:type="dxa"/>
          </w:tcPr>
          <w:p w:rsidR="00C20A07" w:rsidRPr="00663610" w:rsidRDefault="00C20A07" w:rsidP="008426DC">
            <w:pPr>
              <w:pStyle w:val="BodyText"/>
              <w:jc w:val="right"/>
              <w:rPr>
                <w:b/>
                <w:bCs/>
                <w:szCs w:val="22"/>
              </w:rPr>
            </w:pPr>
          </w:p>
        </w:tc>
        <w:tc>
          <w:tcPr>
            <w:tcW w:w="1710" w:type="dxa"/>
            <w:tcBorders>
              <w:top w:val="single" w:sz="4" w:space="0" w:color="auto"/>
              <w:bottom w:val="double" w:sz="4" w:space="0" w:color="auto"/>
            </w:tcBorders>
          </w:tcPr>
          <w:p w:rsidR="00C20A07" w:rsidRPr="00663610" w:rsidRDefault="00C20A07" w:rsidP="008426DC">
            <w:pPr>
              <w:pStyle w:val="BodyText"/>
              <w:jc w:val="right"/>
              <w:rPr>
                <w:b/>
                <w:bCs/>
                <w:szCs w:val="22"/>
              </w:rPr>
            </w:pPr>
            <w:r w:rsidRPr="00663610">
              <w:rPr>
                <w:b/>
                <w:bCs/>
                <w:szCs w:val="22"/>
              </w:rPr>
              <w:t>-</w:t>
            </w:r>
          </w:p>
        </w:tc>
        <w:tc>
          <w:tcPr>
            <w:tcW w:w="450" w:type="dxa"/>
          </w:tcPr>
          <w:p w:rsidR="00C20A07" w:rsidRPr="00663610" w:rsidRDefault="00C20A07" w:rsidP="008426DC">
            <w:pPr>
              <w:pStyle w:val="BodyText"/>
              <w:jc w:val="right"/>
              <w:rPr>
                <w:b/>
                <w:bCs/>
                <w:szCs w:val="22"/>
              </w:rPr>
            </w:pPr>
          </w:p>
        </w:tc>
        <w:tc>
          <w:tcPr>
            <w:tcW w:w="1890" w:type="dxa"/>
            <w:tcBorders>
              <w:top w:val="single" w:sz="4" w:space="0" w:color="auto"/>
              <w:bottom w:val="double" w:sz="4" w:space="0" w:color="auto"/>
            </w:tcBorders>
          </w:tcPr>
          <w:p w:rsidR="00C20A07" w:rsidRPr="00663610" w:rsidRDefault="000416F2" w:rsidP="008A6B21">
            <w:pPr>
              <w:pStyle w:val="BodyText"/>
              <w:jc w:val="right"/>
              <w:rPr>
                <w:b/>
                <w:bCs/>
                <w:szCs w:val="22"/>
                <w:lang w:eastAsia="zh-CN"/>
              </w:rPr>
            </w:pPr>
            <w:r>
              <w:rPr>
                <w:b/>
                <w:bCs/>
                <w:szCs w:val="22"/>
                <w:lang w:eastAsia="zh-CN"/>
              </w:rPr>
              <w:t>566</w:t>
            </w:r>
          </w:p>
        </w:tc>
      </w:tr>
    </w:tbl>
    <w:p w:rsidR="006A7FB3" w:rsidRPr="00663610" w:rsidRDefault="006A7FB3" w:rsidP="00DF2E35">
      <w:pPr>
        <w:rPr>
          <w:szCs w:val="22"/>
        </w:rPr>
      </w:pPr>
    </w:p>
    <w:p w:rsidR="00190B7B" w:rsidRPr="00663610" w:rsidRDefault="00190B7B" w:rsidP="006C0762">
      <w:pPr>
        <w:pStyle w:val="BodyText"/>
        <w:rPr>
          <w:b/>
          <w:bCs/>
          <w:szCs w:val="22"/>
        </w:rPr>
      </w:pPr>
      <w:r w:rsidRPr="00663610">
        <w:rPr>
          <w:b/>
          <w:bCs/>
          <w:szCs w:val="22"/>
        </w:rPr>
        <w:t>2</w:t>
      </w:r>
      <w:r w:rsidR="00E53573" w:rsidRPr="00663610">
        <w:rPr>
          <w:b/>
          <w:bCs/>
          <w:szCs w:val="22"/>
          <w:lang w:eastAsia="zh-CN"/>
        </w:rPr>
        <w:t>2</w:t>
      </w:r>
      <w:r w:rsidRPr="00663610">
        <w:rPr>
          <w:b/>
          <w:bCs/>
          <w:szCs w:val="22"/>
        </w:rPr>
        <w:t>.</w:t>
      </w:r>
      <w:r w:rsidRPr="00663610">
        <w:rPr>
          <w:b/>
          <w:bCs/>
          <w:szCs w:val="22"/>
        </w:rPr>
        <w:tab/>
        <w:t xml:space="preserve">Realised and Unrealised </w:t>
      </w:r>
      <w:r w:rsidR="00786D30" w:rsidRPr="00663610">
        <w:rPr>
          <w:b/>
          <w:bCs/>
          <w:szCs w:val="22"/>
        </w:rPr>
        <w:t>Retained Profits</w:t>
      </w:r>
    </w:p>
    <w:p w:rsidR="00611601" w:rsidRPr="00663610" w:rsidRDefault="00611601" w:rsidP="006C0762">
      <w:pPr>
        <w:pStyle w:val="BodyText"/>
        <w:rPr>
          <w:b/>
          <w:bCs/>
          <w:szCs w:val="22"/>
        </w:rPr>
      </w:pPr>
      <w:r w:rsidRPr="00663610">
        <w:rPr>
          <w:b/>
          <w:bCs/>
          <w:szCs w:val="22"/>
        </w:rPr>
        <w:tab/>
      </w:r>
    </w:p>
    <w:tbl>
      <w:tblPr>
        <w:tblW w:w="0" w:type="auto"/>
        <w:tblInd w:w="918" w:type="dxa"/>
        <w:tblLook w:val="04A0" w:firstRow="1" w:lastRow="0" w:firstColumn="1" w:lastColumn="0" w:noHBand="0" w:noVBand="1"/>
      </w:tblPr>
      <w:tblGrid>
        <w:gridCol w:w="5310"/>
        <w:gridCol w:w="2072"/>
        <w:gridCol w:w="2072"/>
      </w:tblGrid>
      <w:tr w:rsidR="00611601" w:rsidRPr="00663610" w:rsidTr="001A1241">
        <w:tc>
          <w:tcPr>
            <w:tcW w:w="5310" w:type="dxa"/>
            <w:shd w:val="clear" w:color="auto" w:fill="auto"/>
          </w:tcPr>
          <w:p w:rsidR="00611601" w:rsidRPr="00663610" w:rsidRDefault="00611601" w:rsidP="006C0762">
            <w:pPr>
              <w:pStyle w:val="BodyText"/>
              <w:rPr>
                <w:b/>
                <w:bCs/>
                <w:szCs w:val="22"/>
              </w:rPr>
            </w:pPr>
          </w:p>
        </w:tc>
        <w:tc>
          <w:tcPr>
            <w:tcW w:w="2072" w:type="dxa"/>
            <w:shd w:val="clear" w:color="auto" w:fill="auto"/>
          </w:tcPr>
          <w:p w:rsidR="00611601" w:rsidRPr="00663610" w:rsidRDefault="00BD3179" w:rsidP="00237162">
            <w:pPr>
              <w:pStyle w:val="BodyText"/>
              <w:jc w:val="right"/>
              <w:rPr>
                <w:b/>
                <w:bCs/>
                <w:szCs w:val="22"/>
                <w:lang w:eastAsia="zh-CN"/>
              </w:rPr>
            </w:pPr>
            <w:r w:rsidRPr="00663610">
              <w:rPr>
                <w:b/>
                <w:bCs/>
                <w:szCs w:val="22"/>
              </w:rPr>
              <w:t>C</w:t>
            </w:r>
            <w:r w:rsidR="00786D30" w:rsidRPr="00663610">
              <w:rPr>
                <w:b/>
                <w:bCs/>
                <w:szCs w:val="22"/>
              </w:rPr>
              <w:t xml:space="preserve">urrent </w:t>
            </w:r>
            <w:r w:rsidR="00611601" w:rsidRPr="00663610">
              <w:rPr>
                <w:b/>
                <w:bCs/>
                <w:szCs w:val="22"/>
              </w:rPr>
              <w:t>quarter</w:t>
            </w:r>
            <w:r w:rsidRPr="00663610">
              <w:rPr>
                <w:b/>
                <w:bCs/>
                <w:szCs w:val="22"/>
              </w:rPr>
              <w:t xml:space="preserve"> ended</w:t>
            </w:r>
            <w:r w:rsidR="00611601" w:rsidRPr="00663610">
              <w:rPr>
                <w:b/>
                <w:bCs/>
                <w:szCs w:val="22"/>
              </w:rPr>
              <w:t xml:space="preserve"> 3</w:t>
            </w:r>
            <w:r w:rsidR="001A0534">
              <w:rPr>
                <w:b/>
                <w:bCs/>
                <w:szCs w:val="22"/>
              </w:rPr>
              <w:t>1</w:t>
            </w:r>
            <w:r w:rsidR="00611601" w:rsidRPr="00663610">
              <w:rPr>
                <w:b/>
                <w:bCs/>
                <w:szCs w:val="22"/>
              </w:rPr>
              <w:t>/</w:t>
            </w:r>
            <w:r w:rsidR="00237162">
              <w:rPr>
                <w:b/>
                <w:bCs/>
                <w:szCs w:val="22"/>
              </w:rPr>
              <w:t>03</w:t>
            </w:r>
            <w:r w:rsidR="00611601" w:rsidRPr="00663610">
              <w:rPr>
                <w:b/>
                <w:bCs/>
                <w:szCs w:val="22"/>
              </w:rPr>
              <w:t>/201</w:t>
            </w:r>
            <w:r w:rsidR="00237162">
              <w:rPr>
                <w:b/>
                <w:bCs/>
                <w:szCs w:val="22"/>
              </w:rPr>
              <w:t>3</w:t>
            </w:r>
          </w:p>
        </w:tc>
        <w:tc>
          <w:tcPr>
            <w:tcW w:w="2072" w:type="dxa"/>
            <w:shd w:val="clear" w:color="auto" w:fill="auto"/>
          </w:tcPr>
          <w:p w:rsidR="00611601" w:rsidRPr="00663610" w:rsidRDefault="00BD3179" w:rsidP="0090260B">
            <w:pPr>
              <w:pStyle w:val="BodyText"/>
              <w:jc w:val="right"/>
              <w:rPr>
                <w:b/>
                <w:bCs/>
                <w:szCs w:val="22"/>
              </w:rPr>
            </w:pPr>
            <w:r w:rsidRPr="00663610">
              <w:rPr>
                <w:b/>
                <w:bCs/>
                <w:szCs w:val="22"/>
              </w:rPr>
              <w:t>P</w:t>
            </w:r>
            <w:r w:rsidR="00351211" w:rsidRPr="00663610">
              <w:rPr>
                <w:b/>
                <w:bCs/>
                <w:szCs w:val="22"/>
              </w:rPr>
              <w:t>receding</w:t>
            </w:r>
            <w:r w:rsidR="00611601" w:rsidRPr="00663610">
              <w:rPr>
                <w:b/>
                <w:bCs/>
                <w:szCs w:val="22"/>
              </w:rPr>
              <w:t xml:space="preserve"> quarter </w:t>
            </w:r>
            <w:r w:rsidR="000038C3" w:rsidRPr="00663610">
              <w:rPr>
                <w:b/>
                <w:bCs/>
                <w:szCs w:val="22"/>
              </w:rPr>
              <w:t>ended 3</w:t>
            </w:r>
            <w:r w:rsidR="0090260B">
              <w:rPr>
                <w:b/>
                <w:bCs/>
                <w:szCs w:val="22"/>
              </w:rPr>
              <w:t>1</w:t>
            </w:r>
            <w:r w:rsidR="000038C3" w:rsidRPr="00663610">
              <w:rPr>
                <w:b/>
                <w:bCs/>
                <w:szCs w:val="22"/>
              </w:rPr>
              <w:t>/</w:t>
            </w:r>
            <w:r w:rsidR="0090260B">
              <w:rPr>
                <w:b/>
                <w:bCs/>
                <w:szCs w:val="22"/>
              </w:rPr>
              <w:t>12</w:t>
            </w:r>
            <w:r w:rsidR="000038C3" w:rsidRPr="00663610">
              <w:rPr>
                <w:b/>
                <w:bCs/>
                <w:szCs w:val="22"/>
              </w:rPr>
              <w:t>/201</w:t>
            </w:r>
            <w:r w:rsidR="000038C3" w:rsidRPr="00663610">
              <w:rPr>
                <w:rFonts w:hint="eastAsia"/>
                <w:b/>
                <w:bCs/>
                <w:szCs w:val="22"/>
                <w:lang w:eastAsia="zh-CN"/>
              </w:rPr>
              <w:t>2</w:t>
            </w:r>
          </w:p>
        </w:tc>
      </w:tr>
      <w:tr w:rsidR="00DE62D1" w:rsidRPr="00663610" w:rsidTr="001A1241">
        <w:tc>
          <w:tcPr>
            <w:tcW w:w="5310" w:type="dxa"/>
            <w:shd w:val="clear" w:color="auto" w:fill="auto"/>
          </w:tcPr>
          <w:p w:rsidR="00DE62D1" w:rsidRPr="00663610" w:rsidRDefault="00DE62D1" w:rsidP="006C0762">
            <w:pPr>
              <w:pStyle w:val="BodyText"/>
              <w:rPr>
                <w:bCs/>
                <w:szCs w:val="22"/>
              </w:rPr>
            </w:pPr>
          </w:p>
        </w:tc>
        <w:tc>
          <w:tcPr>
            <w:tcW w:w="2072" w:type="dxa"/>
            <w:shd w:val="clear" w:color="auto" w:fill="auto"/>
          </w:tcPr>
          <w:p w:rsidR="00DE62D1" w:rsidRPr="00663610" w:rsidRDefault="00DE62D1" w:rsidP="00DE62D1">
            <w:pPr>
              <w:pStyle w:val="BodyText"/>
              <w:jc w:val="right"/>
              <w:rPr>
                <w:b/>
                <w:bCs/>
                <w:szCs w:val="22"/>
                <w:lang w:eastAsia="zh-CN"/>
              </w:rPr>
            </w:pPr>
            <w:r w:rsidRPr="00663610">
              <w:rPr>
                <w:b/>
                <w:bCs/>
                <w:szCs w:val="22"/>
              </w:rPr>
              <w:t>RM</w:t>
            </w:r>
            <w:r w:rsidR="00A2641B">
              <w:rPr>
                <w:b/>
                <w:bCs/>
                <w:szCs w:val="22"/>
                <w:lang w:eastAsia="zh-CN"/>
              </w:rPr>
              <w:t>’</w:t>
            </w:r>
            <w:r w:rsidR="00A2641B">
              <w:rPr>
                <w:rFonts w:hint="eastAsia"/>
                <w:b/>
                <w:bCs/>
                <w:szCs w:val="22"/>
                <w:lang w:eastAsia="zh-CN"/>
              </w:rPr>
              <w:t>000</w:t>
            </w:r>
          </w:p>
        </w:tc>
        <w:tc>
          <w:tcPr>
            <w:tcW w:w="2072" w:type="dxa"/>
            <w:shd w:val="clear" w:color="auto" w:fill="auto"/>
          </w:tcPr>
          <w:p w:rsidR="00DE62D1" w:rsidRPr="00663610" w:rsidRDefault="00DE62D1" w:rsidP="00B05B30">
            <w:pPr>
              <w:pStyle w:val="BodyText"/>
              <w:jc w:val="right"/>
              <w:rPr>
                <w:b/>
                <w:bCs/>
                <w:szCs w:val="22"/>
                <w:lang w:eastAsia="zh-CN"/>
              </w:rPr>
            </w:pPr>
            <w:r w:rsidRPr="00663610">
              <w:rPr>
                <w:b/>
                <w:bCs/>
                <w:szCs w:val="22"/>
              </w:rPr>
              <w:t>RM</w:t>
            </w:r>
            <w:r w:rsidR="00A2641B">
              <w:rPr>
                <w:b/>
                <w:bCs/>
                <w:szCs w:val="22"/>
                <w:lang w:eastAsia="zh-CN"/>
              </w:rPr>
              <w:t>’</w:t>
            </w:r>
            <w:r w:rsidR="00A2641B">
              <w:rPr>
                <w:rFonts w:hint="eastAsia"/>
                <w:b/>
                <w:bCs/>
                <w:szCs w:val="22"/>
                <w:lang w:eastAsia="zh-CN"/>
              </w:rPr>
              <w:t>000</w:t>
            </w:r>
          </w:p>
        </w:tc>
      </w:tr>
      <w:tr w:rsidR="00611601" w:rsidRPr="00663610" w:rsidTr="001A1241">
        <w:tc>
          <w:tcPr>
            <w:tcW w:w="5310" w:type="dxa"/>
            <w:shd w:val="clear" w:color="auto" w:fill="auto"/>
          </w:tcPr>
          <w:p w:rsidR="00611601" w:rsidRPr="00663610" w:rsidRDefault="00611601" w:rsidP="006C0762">
            <w:pPr>
              <w:pStyle w:val="BodyText"/>
              <w:rPr>
                <w:bCs/>
                <w:szCs w:val="22"/>
              </w:rPr>
            </w:pPr>
            <w:r w:rsidRPr="00663610">
              <w:rPr>
                <w:bCs/>
                <w:szCs w:val="22"/>
              </w:rPr>
              <w:t>Total retained profits of KIB and its subsidiaries</w:t>
            </w:r>
            <w:r w:rsidR="00B526DD" w:rsidRPr="00663610">
              <w:rPr>
                <w:bCs/>
                <w:szCs w:val="22"/>
              </w:rPr>
              <w:t>:</w:t>
            </w:r>
          </w:p>
        </w:tc>
        <w:tc>
          <w:tcPr>
            <w:tcW w:w="2072" w:type="dxa"/>
            <w:shd w:val="clear" w:color="auto" w:fill="auto"/>
          </w:tcPr>
          <w:p w:rsidR="00611601" w:rsidRPr="00663610" w:rsidRDefault="00611601" w:rsidP="006C0762">
            <w:pPr>
              <w:pStyle w:val="BodyText"/>
              <w:rPr>
                <w:b/>
                <w:bCs/>
                <w:szCs w:val="22"/>
              </w:rPr>
            </w:pPr>
          </w:p>
        </w:tc>
        <w:tc>
          <w:tcPr>
            <w:tcW w:w="2072" w:type="dxa"/>
            <w:shd w:val="clear" w:color="auto" w:fill="auto"/>
          </w:tcPr>
          <w:p w:rsidR="00611601" w:rsidRPr="00663610" w:rsidRDefault="00611601" w:rsidP="00B05B30">
            <w:pPr>
              <w:pStyle w:val="BodyText"/>
              <w:jc w:val="right"/>
              <w:rPr>
                <w:b/>
                <w:bCs/>
                <w:szCs w:val="22"/>
              </w:rPr>
            </w:pPr>
          </w:p>
        </w:tc>
      </w:tr>
      <w:tr w:rsidR="0059364E" w:rsidRPr="00663610" w:rsidTr="001A1241">
        <w:tc>
          <w:tcPr>
            <w:tcW w:w="5310" w:type="dxa"/>
            <w:shd w:val="clear" w:color="auto" w:fill="auto"/>
          </w:tcPr>
          <w:p w:rsidR="0059364E" w:rsidRPr="00663610" w:rsidRDefault="0059364E" w:rsidP="00E56779">
            <w:pPr>
              <w:pStyle w:val="BodyText"/>
              <w:numPr>
                <w:ilvl w:val="1"/>
                <w:numId w:val="1"/>
              </w:numPr>
              <w:ind w:hanging="1188"/>
              <w:rPr>
                <w:bCs/>
                <w:szCs w:val="22"/>
              </w:rPr>
            </w:pPr>
            <w:r w:rsidRPr="00663610">
              <w:rPr>
                <w:bCs/>
                <w:szCs w:val="22"/>
              </w:rPr>
              <w:t xml:space="preserve">Realised </w:t>
            </w:r>
          </w:p>
        </w:tc>
        <w:tc>
          <w:tcPr>
            <w:tcW w:w="2072" w:type="dxa"/>
            <w:shd w:val="clear" w:color="auto" w:fill="auto"/>
          </w:tcPr>
          <w:p w:rsidR="0059364E" w:rsidRPr="00663610" w:rsidRDefault="008C5931" w:rsidP="009F2E4E">
            <w:pPr>
              <w:pStyle w:val="BodyText"/>
              <w:tabs>
                <w:tab w:val="clear" w:pos="720"/>
                <w:tab w:val="clear" w:pos="1080"/>
                <w:tab w:val="clear" w:pos="1440"/>
                <w:tab w:val="decimal" w:pos="1782"/>
              </w:tabs>
              <w:rPr>
                <w:bCs/>
                <w:szCs w:val="22"/>
                <w:lang w:eastAsia="zh-CN"/>
              </w:rPr>
            </w:pPr>
            <w:r>
              <w:rPr>
                <w:bCs/>
                <w:szCs w:val="22"/>
                <w:lang w:eastAsia="zh-CN"/>
              </w:rPr>
              <w:t>2</w:t>
            </w:r>
            <w:r w:rsidR="009F2E4E">
              <w:rPr>
                <w:bCs/>
                <w:szCs w:val="22"/>
                <w:lang w:eastAsia="zh-CN"/>
              </w:rPr>
              <w:t>7,487</w:t>
            </w:r>
          </w:p>
        </w:tc>
        <w:tc>
          <w:tcPr>
            <w:tcW w:w="2072" w:type="dxa"/>
            <w:shd w:val="clear" w:color="auto" w:fill="auto"/>
          </w:tcPr>
          <w:p w:rsidR="0059364E" w:rsidRPr="00663610" w:rsidRDefault="0090260B" w:rsidP="008A6B21">
            <w:pPr>
              <w:pStyle w:val="BodyText"/>
              <w:tabs>
                <w:tab w:val="clear" w:pos="720"/>
                <w:tab w:val="clear" w:pos="1080"/>
                <w:tab w:val="clear" w:pos="1440"/>
                <w:tab w:val="decimal" w:pos="1782"/>
              </w:tabs>
              <w:rPr>
                <w:bCs/>
                <w:szCs w:val="22"/>
                <w:lang w:eastAsia="zh-CN"/>
              </w:rPr>
            </w:pPr>
            <w:r>
              <w:rPr>
                <w:bCs/>
                <w:szCs w:val="22"/>
                <w:lang w:eastAsia="zh-CN"/>
              </w:rPr>
              <w:t>24,998</w:t>
            </w:r>
          </w:p>
        </w:tc>
      </w:tr>
      <w:tr w:rsidR="0059364E" w:rsidRPr="00663610" w:rsidTr="001A1241">
        <w:tc>
          <w:tcPr>
            <w:tcW w:w="5310" w:type="dxa"/>
            <w:shd w:val="clear" w:color="auto" w:fill="auto"/>
          </w:tcPr>
          <w:p w:rsidR="0059364E" w:rsidRPr="00663610" w:rsidRDefault="0059364E" w:rsidP="00E56779">
            <w:pPr>
              <w:pStyle w:val="BodyText"/>
              <w:numPr>
                <w:ilvl w:val="1"/>
                <w:numId w:val="1"/>
              </w:numPr>
              <w:ind w:hanging="1188"/>
              <w:rPr>
                <w:bCs/>
                <w:szCs w:val="22"/>
              </w:rPr>
            </w:pPr>
            <w:r w:rsidRPr="00663610">
              <w:rPr>
                <w:bCs/>
                <w:szCs w:val="22"/>
              </w:rPr>
              <w:t>Unrealised</w:t>
            </w:r>
          </w:p>
        </w:tc>
        <w:tc>
          <w:tcPr>
            <w:tcW w:w="2072" w:type="dxa"/>
            <w:tcBorders>
              <w:bottom w:val="single" w:sz="4" w:space="0" w:color="auto"/>
            </w:tcBorders>
            <w:shd w:val="clear" w:color="auto" w:fill="auto"/>
          </w:tcPr>
          <w:p w:rsidR="0059364E" w:rsidRPr="00663610" w:rsidRDefault="008C5931" w:rsidP="00E24D46">
            <w:pPr>
              <w:pStyle w:val="BodyText"/>
              <w:tabs>
                <w:tab w:val="clear" w:pos="720"/>
                <w:tab w:val="clear" w:pos="1080"/>
                <w:tab w:val="clear" w:pos="1440"/>
                <w:tab w:val="decimal" w:pos="1782"/>
              </w:tabs>
              <w:rPr>
                <w:bCs/>
                <w:szCs w:val="22"/>
              </w:rPr>
            </w:pPr>
            <w:r>
              <w:rPr>
                <w:bCs/>
                <w:szCs w:val="22"/>
              </w:rPr>
              <w:t>(1,522)</w:t>
            </w:r>
          </w:p>
        </w:tc>
        <w:tc>
          <w:tcPr>
            <w:tcW w:w="2072" w:type="dxa"/>
            <w:tcBorders>
              <w:bottom w:val="single" w:sz="4" w:space="0" w:color="auto"/>
            </w:tcBorders>
            <w:shd w:val="clear" w:color="auto" w:fill="auto"/>
          </w:tcPr>
          <w:p w:rsidR="0059364E" w:rsidRPr="00663610" w:rsidRDefault="0090260B" w:rsidP="001A0534">
            <w:pPr>
              <w:pStyle w:val="BodyText"/>
              <w:tabs>
                <w:tab w:val="clear" w:pos="720"/>
                <w:tab w:val="clear" w:pos="1080"/>
                <w:tab w:val="clear" w:pos="1440"/>
                <w:tab w:val="decimal" w:pos="1782"/>
              </w:tabs>
              <w:rPr>
                <w:bCs/>
                <w:szCs w:val="22"/>
              </w:rPr>
            </w:pPr>
            <w:r>
              <w:rPr>
                <w:bCs/>
                <w:szCs w:val="22"/>
              </w:rPr>
              <w:t>(1,522)</w:t>
            </w:r>
          </w:p>
        </w:tc>
      </w:tr>
      <w:tr w:rsidR="0059364E" w:rsidRPr="00663610" w:rsidTr="001A1241">
        <w:tc>
          <w:tcPr>
            <w:tcW w:w="5310" w:type="dxa"/>
            <w:shd w:val="clear" w:color="auto" w:fill="auto"/>
          </w:tcPr>
          <w:p w:rsidR="0059364E" w:rsidRPr="00663610" w:rsidRDefault="0059364E" w:rsidP="006C0762">
            <w:pPr>
              <w:pStyle w:val="BodyText"/>
              <w:rPr>
                <w:bCs/>
                <w:szCs w:val="22"/>
              </w:rPr>
            </w:pPr>
          </w:p>
        </w:tc>
        <w:tc>
          <w:tcPr>
            <w:tcW w:w="2072" w:type="dxa"/>
            <w:tcBorders>
              <w:top w:val="single" w:sz="4" w:space="0" w:color="auto"/>
              <w:bottom w:val="single" w:sz="4" w:space="0" w:color="auto"/>
            </w:tcBorders>
            <w:shd w:val="clear" w:color="auto" w:fill="auto"/>
          </w:tcPr>
          <w:p w:rsidR="0059364E" w:rsidRPr="00663610" w:rsidRDefault="008C5931" w:rsidP="00504760">
            <w:pPr>
              <w:pStyle w:val="BodyText"/>
              <w:tabs>
                <w:tab w:val="clear" w:pos="720"/>
                <w:tab w:val="clear" w:pos="1080"/>
                <w:tab w:val="clear" w:pos="1440"/>
                <w:tab w:val="decimal" w:pos="1782"/>
              </w:tabs>
              <w:rPr>
                <w:bCs/>
                <w:szCs w:val="22"/>
                <w:lang w:eastAsia="zh-CN"/>
              </w:rPr>
            </w:pPr>
            <w:r>
              <w:rPr>
                <w:bCs/>
                <w:szCs w:val="22"/>
                <w:lang w:eastAsia="zh-CN"/>
              </w:rPr>
              <w:t>2</w:t>
            </w:r>
            <w:r w:rsidR="00504760">
              <w:rPr>
                <w:bCs/>
                <w:szCs w:val="22"/>
                <w:lang w:eastAsia="zh-CN"/>
              </w:rPr>
              <w:t>5</w:t>
            </w:r>
            <w:r>
              <w:rPr>
                <w:bCs/>
                <w:szCs w:val="22"/>
                <w:lang w:eastAsia="zh-CN"/>
              </w:rPr>
              <w:t>,</w:t>
            </w:r>
            <w:r w:rsidR="009F2E4E">
              <w:rPr>
                <w:bCs/>
                <w:szCs w:val="22"/>
                <w:lang w:eastAsia="zh-CN"/>
              </w:rPr>
              <w:t>965</w:t>
            </w:r>
          </w:p>
        </w:tc>
        <w:tc>
          <w:tcPr>
            <w:tcW w:w="2072" w:type="dxa"/>
            <w:tcBorders>
              <w:top w:val="single" w:sz="4" w:space="0" w:color="auto"/>
              <w:bottom w:val="single" w:sz="4" w:space="0" w:color="auto"/>
            </w:tcBorders>
            <w:shd w:val="clear" w:color="auto" w:fill="auto"/>
          </w:tcPr>
          <w:p w:rsidR="0059364E" w:rsidRPr="00663610" w:rsidRDefault="0090260B" w:rsidP="008A6B21">
            <w:pPr>
              <w:pStyle w:val="BodyText"/>
              <w:tabs>
                <w:tab w:val="clear" w:pos="720"/>
                <w:tab w:val="clear" w:pos="1080"/>
                <w:tab w:val="clear" w:pos="1440"/>
                <w:tab w:val="decimal" w:pos="1782"/>
              </w:tabs>
              <w:rPr>
                <w:bCs/>
                <w:szCs w:val="22"/>
                <w:lang w:eastAsia="zh-CN"/>
              </w:rPr>
            </w:pPr>
            <w:r>
              <w:rPr>
                <w:bCs/>
                <w:szCs w:val="22"/>
                <w:lang w:eastAsia="zh-CN"/>
              </w:rPr>
              <w:t>23,476</w:t>
            </w:r>
          </w:p>
        </w:tc>
      </w:tr>
      <w:tr w:rsidR="0059364E" w:rsidRPr="00663610" w:rsidTr="001A1241">
        <w:tc>
          <w:tcPr>
            <w:tcW w:w="5310" w:type="dxa"/>
            <w:shd w:val="clear" w:color="auto" w:fill="auto"/>
          </w:tcPr>
          <w:p w:rsidR="0059364E" w:rsidRPr="00663610" w:rsidRDefault="0059364E" w:rsidP="00B526DD">
            <w:pPr>
              <w:pStyle w:val="BodyText"/>
              <w:rPr>
                <w:bCs/>
                <w:szCs w:val="22"/>
              </w:rPr>
            </w:pPr>
            <w:r w:rsidRPr="00663610">
              <w:rPr>
                <w:bCs/>
                <w:szCs w:val="22"/>
              </w:rPr>
              <w:t>Total share of retained profits from jointly controlled entity:</w:t>
            </w:r>
          </w:p>
        </w:tc>
        <w:tc>
          <w:tcPr>
            <w:tcW w:w="2072" w:type="dxa"/>
            <w:tcBorders>
              <w:top w:val="single" w:sz="4" w:space="0" w:color="auto"/>
            </w:tcBorders>
            <w:shd w:val="clear" w:color="auto" w:fill="auto"/>
          </w:tcPr>
          <w:p w:rsidR="0059364E" w:rsidRPr="00663610" w:rsidRDefault="0059364E" w:rsidP="00B526DD">
            <w:pPr>
              <w:pStyle w:val="BodyText"/>
              <w:jc w:val="right"/>
              <w:rPr>
                <w:bCs/>
                <w:szCs w:val="22"/>
              </w:rPr>
            </w:pPr>
          </w:p>
        </w:tc>
        <w:tc>
          <w:tcPr>
            <w:tcW w:w="2072" w:type="dxa"/>
            <w:tcBorders>
              <w:top w:val="single" w:sz="4" w:space="0" w:color="auto"/>
            </w:tcBorders>
            <w:shd w:val="clear" w:color="auto" w:fill="auto"/>
          </w:tcPr>
          <w:p w:rsidR="0059364E" w:rsidRPr="00663610" w:rsidRDefault="0059364E" w:rsidP="008A6B21">
            <w:pPr>
              <w:pStyle w:val="BodyText"/>
              <w:jc w:val="right"/>
              <w:rPr>
                <w:bCs/>
                <w:szCs w:val="22"/>
              </w:rPr>
            </w:pPr>
          </w:p>
        </w:tc>
      </w:tr>
      <w:tr w:rsidR="0059364E" w:rsidRPr="00663610" w:rsidTr="001A1241">
        <w:tc>
          <w:tcPr>
            <w:tcW w:w="5310" w:type="dxa"/>
            <w:shd w:val="clear" w:color="auto" w:fill="auto"/>
          </w:tcPr>
          <w:p w:rsidR="0059364E" w:rsidRPr="00663610" w:rsidRDefault="0059364E" w:rsidP="00E56779">
            <w:pPr>
              <w:pStyle w:val="BodyText"/>
              <w:numPr>
                <w:ilvl w:val="1"/>
                <w:numId w:val="1"/>
              </w:numPr>
              <w:ind w:hanging="1188"/>
              <w:rPr>
                <w:bCs/>
                <w:szCs w:val="22"/>
              </w:rPr>
            </w:pPr>
            <w:r w:rsidRPr="00663610">
              <w:rPr>
                <w:bCs/>
                <w:szCs w:val="22"/>
              </w:rPr>
              <w:t xml:space="preserve">Realised </w:t>
            </w:r>
          </w:p>
        </w:tc>
        <w:tc>
          <w:tcPr>
            <w:tcW w:w="2072" w:type="dxa"/>
            <w:shd w:val="clear" w:color="auto" w:fill="auto"/>
          </w:tcPr>
          <w:p w:rsidR="0059364E" w:rsidRPr="00663610" w:rsidRDefault="00504760" w:rsidP="00C95310">
            <w:pPr>
              <w:pStyle w:val="BodyText"/>
              <w:jc w:val="right"/>
              <w:rPr>
                <w:bCs/>
                <w:szCs w:val="22"/>
                <w:lang w:eastAsia="zh-CN"/>
              </w:rPr>
            </w:pPr>
            <w:r>
              <w:rPr>
                <w:bCs/>
                <w:szCs w:val="22"/>
                <w:lang w:eastAsia="zh-CN"/>
              </w:rPr>
              <w:t>698</w:t>
            </w:r>
          </w:p>
        </w:tc>
        <w:tc>
          <w:tcPr>
            <w:tcW w:w="2072" w:type="dxa"/>
            <w:shd w:val="clear" w:color="auto" w:fill="auto"/>
          </w:tcPr>
          <w:p w:rsidR="0059364E" w:rsidRPr="00663610" w:rsidRDefault="0090260B" w:rsidP="008A6B21">
            <w:pPr>
              <w:pStyle w:val="BodyText"/>
              <w:jc w:val="right"/>
              <w:rPr>
                <w:bCs/>
                <w:szCs w:val="22"/>
                <w:lang w:eastAsia="zh-CN"/>
              </w:rPr>
            </w:pPr>
            <w:r>
              <w:rPr>
                <w:bCs/>
                <w:szCs w:val="22"/>
                <w:lang w:eastAsia="zh-CN"/>
              </w:rPr>
              <w:t>591</w:t>
            </w:r>
          </w:p>
        </w:tc>
      </w:tr>
      <w:tr w:rsidR="0059364E" w:rsidRPr="00663610" w:rsidTr="001A1241">
        <w:tc>
          <w:tcPr>
            <w:tcW w:w="5310" w:type="dxa"/>
            <w:shd w:val="clear" w:color="auto" w:fill="auto"/>
          </w:tcPr>
          <w:p w:rsidR="0059364E" w:rsidRPr="00663610" w:rsidRDefault="0059364E" w:rsidP="00550FBF">
            <w:pPr>
              <w:pStyle w:val="BodyText"/>
              <w:rPr>
                <w:bCs/>
                <w:szCs w:val="22"/>
              </w:rPr>
            </w:pPr>
          </w:p>
        </w:tc>
        <w:tc>
          <w:tcPr>
            <w:tcW w:w="2072" w:type="dxa"/>
            <w:tcBorders>
              <w:top w:val="single" w:sz="4" w:space="0" w:color="auto"/>
            </w:tcBorders>
            <w:shd w:val="clear" w:color="auto" w:fill="auto"/>
          </w:tcPr>
          <w:p w:rsidR="0059364E" w:rsidRPr="00663610" w:rsidRDefault="0059364E" w:rsidP="00550FBF">
            <w:pPr>
              <w:pStyle w:val="BodyText"/>
              <w:jc w:val="right"/>
              <w:rPr>
                <w:bCs/>
                <w:szCs w:val="22"/>
              </w:rPr>
            </w:pPr>
          </w:p>
        </w:tc>
        <w:tc>
          <w:tcPr>
            <w:tcW w:w="2072" w:type="dxa"/>
            <w:tcBorders>
              <w:top w:val="single" w:sz="4" w:space="0" w:color="auto"/>
            </w:tcBorders>
            <w:shd w:val="clear" w:color="auto" w:fill="auto"/>
          </w:tcPr>
          <w:p w:rsidR="0059364E" w:rsidRPr="00663610" w:rsidRDefault="0059364E" w:rsidP="008A6B21">
            <w:pPr>
              <w:pStyle w:val="BodyText"/>
              <w:jc w:val="right"/>
              <w:rPr>
                <w:bCs/>
                <w:szCs w:val="22"/>
              </w:rPr>
            </w:pPr>
          </w:p>
        </w:tc>
      </w:tr>
      <w:tr w:rsidR="0059364E" w:rsidRPr="00663610" w:rsidTr="001A1241">
        <w:tc>
          <w:tcPr>
            <w:tcW w:w="5310" w:type="dxa"/>
            <w:shd w:val="clear" w:color="auto" w:fill="auto"/>
          </w:tcPr>
          <w:p w:rsidR="0059364E" w:rsidRPr="00663610" w:rsidRDefault="0059364E" w:rsidP="00D828E1">
            <w:pPr>
              <w:pStyle w:val="BodyText"/>
              <w:rPr>
                <w:bCs/>
                <w:szCs w:val="22"/>
              </w:rPr>
            </w:pPr>
            <w:r w:rsidRPr="00663610">
              <w:rPr>
                <w:bCs/>
                <w:szCs w:val="22"/>
              </w:rPr>
              <w:t xml:space="preserve">Total Group retained profits </w:t>
            </w:r>
          </w:p>
        </w:tc>
        <w:tc>
          <w:tcPr>
            <w:tcW w:w="2072" w:type="dxa"/>
            <w:tcBorders>
              <w:bottom w:val="double" w:sz="4" w:space="0" w:color="auto"/>
            </w:tcBorders>
            <w:shd w:val="clear" w:color="auto" w:fill="auto"/>
          </w:tcPr>
          <w:p w:rsidR="0059364E" w:rsidRPr="00663610" w:rsidRDefault="00ED2EEF" w:rsidP="00050702">
            <w:pPr>
              <w:pStyle w:val="BodyText"/>
              <w:jc w:val="right"/>
              <w:rPr>
                <w:b/>
                <w:bCs/>
                <w:szCs w:val="22"/>
                <w:lang w:eastAsia="zh-CN"/>
              </w:rPr>
            </w:pPr>
            <w:r>
              <w:rPr>
                <w:b/>
                <w:bCs/>
                <w:szCs w:val="22"/>
                <w:lang w:eastAsia="zh-CN"/>
              </w:rPr>
              <w:t>26,663</w:t>
            </w:r>
          </w:p>
        </w:tc>
        <w:tc>
          <w:tcPr>
            <w:tcW w:w="2072" w:type="dxa"/>
            <w:tcBorders>
              <w:bottom w:val="double" w:sz="4" w:space="0" w:color="auto"/>
            </w:tcBorders>
            <w:shd w:val="clear" w:color="auto" w:fill="auto"/>
          </w:tcPr>
          <w:p w:rsidR="0059364E" w:rsidRPr="00663610" w:rsidRDefault="0090260B" w:rsidP="008A6B21">
            <w:pPr>
              <w:pStyle w:val="BodyText"/>
              <w:jc w:val="right"/>
              <w:rPr>
                <w:b/>
                <w:bCs/>
                <w:szCs w:val="22"/>
                <w:lang w:eastAsia="zh-CN"/>
              </w:rPr>
            </w:pPr>
            <w:r>
              <w:rPr>
                <w:b/>
                <w:bCs/>
                <w:szCs w:val="22"/>
                <w:lang w:eastAsia="zh-CN"/>
              </w:rPr>
              <w:t>24,067</w:t>
            </w:r>
          </w:p>
        </w:tc>
      </w:tr>
    </w:tbl>
    <w:p w:rsidR="00633442" w:rsidRDefault="00633442" w:rsidP="004D219D">
      <w:pPr>
        <w:rPr>
          <w:szCs w:val="22"/>
          <w:lang w:eastAsia="zh-CN"/>
        </w:rPr>
      </w:pPr>
    </w:p>
    <w:p w:rsidR="00633442" w:rsidRDefault="00633442" w:rsidP="00633442">
      <w:pPr>
        <w:rPr>
          <w:lang w:eastAsia="zh-CN"/>
        </w:rPr>
      </w:pPr>
      <w:r>
        <w:rPr>
          <w:lang w:eastAsia="zh-CN"/>
        </w:rPr>
        <w:br w:type="page"/>
      </w:r>
    </w:p>
    <w:p w:rsidR="00F02245" w:rsidRPr="00663610" w:rsidRDefault="00F02245" w:rsidP="004D219D">
      <w:pPr>
        <w:rPr>
          <w:szCs w:val="22"/>
          <w:lang w:eastAsia="zh-CN"/>
        </w:rPr>
      </w:pPr>
    </w:p>
    <w:p w:rsidR="00541004" w:rsidRPr="00663610" w:rsidRDefault="00541004" w:rsidP="00FA54DB">
      <w:pPr>
        <w:pStyle w:val="BodyText"/>
        <w:tabs>
          <w:tab w:val="clear" w:pos="1080"/>
          <w:tab w:val="clear" w:pos="1440"/>
        </w:tabs>
        <w:spacing w:line="233" w:lineRule="auto"/>
        <w:rPr>
          <w:b/>
          <w:szCs w:val="22"/>
        </w:rPr>
      </w:pPr>
      <w:r w:rsidRPr="00663610">
        <w:rPr>
          <w:b/>
          <w:szCs w:val="22"/>
        </w:rPr>
        <w:t>2</w:t>
      </w:r>
      <w:r w:rsidR="00E53573" w:rsidRPr="00663610">
        <w:rPr>
          <w:b/>
          <w:szCs w:val="22"/>
          <w:lang w:eastAsia="zh-CN"/>
        </w:rPr>
        <w:t>3</w:t>
      </w:r>
      <w:r w:rsidRPr="00663610">
        <w:rPr>
          <w:b/>
          <w:szCs w:val="22"/>
        </w:rPr>
        <w:t>.</w:t>
      </w:r>
      <w:r w:rsidRPr="00663610">
        <w:rPr>
          <w:b/>
          <w:szCs w:val="22"/>
        </w:rPr>
        <w:tab/>
        <w:t>Material Litigation</w:t>
      </w:r>
    </w:p>
    <w:p w:rsidR="0009167A" w:rsidRPr="00663610" w:rsidRDefault="0009167A" w:rsidP="0009167A">
      <w:pPr>
        <w:rPr>
          <w:szCs w:val="22"/>
        </w:rPr>
      </w:pPr>
    </w:p>
    <w:p w:rsidR="006B1F24" w:rsidRPr="00663610" w:rsidRDefault="006B1F24" w:rsidP="00E56779">
      <w:pPr>
        <w:numPr>
          <w:ilvl w:val="0"/>
          <w:numId w:val="3"/>
        </w:numPr>
        <w:tabs>
          <w:tab w:val="clear" w:pos="1440"/>
          <w:tab w:val="left" w:pos="1080"/>
        </w:tabs>
        <w:rPr>
          <w:szCs w:val="22"/>
          <w:u w:val="single"/>
        </w:rPr>
      </w:pPr>
      <w:r w:rsidRPr="00663610">
        <w:rPr>
          <w:szCs w:val="22"/>
          <w:u w:val="single"/>
        </w:rPr>
        <w:t>Writ of Summons and Statement of Claim By Hsing Lung Sdn Bhd (“HLSB”), a wholly</w:t>
      </w:r>
      <w:r w:rsidR="00683B2A" w:rsidRPr="00663610">
        <w:rPr>
          <w:szCs w:val="22"/>
          <w:u w:val="single"/>
        </w:rPr>
        <w:t>-</w:t>
      </w:r>
      <w:r w:rsidRPr="00663610">
        <w:rPr>
          <w:szCs w:val="22"/>
          <w:u w:val="single"/>
        </w:rPr>
        <w:t>owned subsidiary of Karyon Industries B</w:t>
      </w:r>
      <w:r w:rsidR="00412698" w:rsidRPr="00663610">
        <w:rPr>
          <w:szCs w:val="22"/>
          <w:u w:val="single"/>
        </w:rPr>
        <w:t>e</w:t>
      </w:r>
      <w:r w:rsidRPr="00663610">
        <w:rPr>
          <w:szCs w:val="22"/>
          <w:u w:val="single"/>
        </w:rPr>
        <w:t xml:space="preserve">rhad (“KIB”) </w:t>
      </w:r>
      <w:r w:rsidR="0098646B" w:rsidRPr="00663610">
        <w:rPr>
          <w:szCs w:val="22"/>
          <w:u w:val="single"/>
        </w:rPr>
        <w:t>a</w:t>
      </w:r>
      <w:r w:rsidRPr="00663610">
        <w:rPr>
          <w:szCs w:val="22"/>
          <w:u w:val="single"/>
        </w:rPr>
        <w:t>gainst Mahabuilders Sdn Bhd</w:t>
      </w:r>
    </w:p>
    <w:p w:rsidR="006B1F24" w:rsidRPr="00663610" w:rsidRDefault="006B1F24" w:rsidP="0009167A">
      <w:pPr>
        <w:rPr>
          <w:szCs w:val="22"/>
        </w:rPr>
      </w:pPr>
      <w:r w:rsidRPr="00663610">
        <w:rPr>
          <w:szCs w:val="22"/>
        </w:rPr>
        <w:tab/>
      </w:r>
    </w:p>
    <w:p w:rsidR="0009167A" w:rsidRPr="00663610" w:rsidRDefault="00F77C5C" w:rsidP="00D77276">
      <w:pPr>
        <w:pStyle w:val="BodyText"/>
        <w:tabs>
          <w:tab w:val="clear" w:pos="720"/>
          <w:tab w:val="clear" w:pos="1440"/>
        </w:tabs>
        <w:spacing w:line="233" w:lineRule="auto"/>
        <w:ind w:left="1080"/>
        <w:rPr>
          <w:szCs w:val="22"/>
        </w:rPr>
      </w:pPr>
      <w:r w:rsidRPr="00663610">
        <w:rPr>
          <w:szCs w:val="22"/>
        </w:rPr>
        <w:t>HLSB</w:t>
      </w:r>
      <w:r w:rsidR="0009167A" w:rsidRPr="00663610">
        <w:rPr>
          <w:szCs w:val="22"/>
        </w:rPr>
        <w:t>, a wholly</w:t>
      </w:r>
      <w:r w:rsidR="00683B2A" w:rsidRPr="00663610">
        <w:rPr>
          <w:szCs w:val="22"/>
        </w:rPr>
        <w:t>-</w:t>
      </w:r>
      <w:r w:rsidR="0009167A" w:rsidRPr="00663610">
        <w:rPr>
          <w:szCs w:val="22"/>
        </w:rPr>
        <w:t>owned subsidiary of KIB, had on 6 June 2008 through its solicitors served the sealed Writ of Summons and Statement of Claim on Mahabuilders Sdn Bhd for loss and damage in tort and contract in connection with the acquisition of a piece of land held under HS(D) 212275 PTD 111374 in the Mukim of Plentong, District of Johor Bahru, Johor Darul Takzim.</w:t>
      </w:r>
    </w:p>
    <w:p w:rsidR="0009167A" w:rsidRPr="00663610" w:rsidRDefault="0009167A" w:rsidP="00D77276">
      <w:pPr>
        <w:pStyle w:val="BodyText"/>
        <w:tabs>
          <w:tab w:val="clear" w:pos="720"/>
          <w:tab w:val="clear" w:pos="1440"/>
        </w:tabs>
        <w:spacing w:line="233" w:lineRule="auto"/>
        <w:ind w:left="1080"/>
        <w:rPr>
          <w:szCs w:val="22"/>
        </w:rPr>
      </w:pPr>
    </w:p>
    <w:p w:rsidR="0009167A" w:rsidRPr="00663610" w:rsidRDefault="0009167A" w:rsidP="00D77276">
      <w:pPr>
        <w:pStyle w:val="BodyText"/>
        <w:tabs>
          <w:tab w:val="clear" w:pos="720"/>
          <w:tab w:val="clear" w:pos="1440"/>
        </w:tabs>
        <w:spacing w:line="233" w:lineRule="auto"/>
        <w:ind w:left="1080"/>
        <w:rPr>
          <w:szCs w:val="22"/>
        </w:rPr>
      </w:pPr>
      <w:r w:rsidRPr="00663610">
        <w:rPr>
          <w:szCs w:val="22"/>
        </w:rPr>
        <w:t>The Writ of Summons and Statement of Claim (No.22-329-2008(4)) was filed with and a sealed copy thereof extracted from the Johor Bahru High Court on 13 May 2008 and 28 May 2008 respectively.</w:t>
      </w:r>
    </w:p>
    <w:p w:rsidR="00B3770A" w:rsidRPr="00663610" w:rsidRDefault="00B3770A" w:rsidP="00D77276">
      <w:pPr>
        <w:tabs>
          <w:tab w:val="left" w:pos="1080"/>
        </w:tabs>
        <w:spacing w:line="233" w:lineRule="auto"/>
        <w:ind w:left="1080"/>
        <w:jc w:val="both"/>
        <w:rPr>
          <w:szCs w:val="22"/>
          <w:lang w:eastAsia="zh-CN"/>
        </w:rPr>
      </w:pPr>
    </w:p>
    <w:p w:rsidR="007F1C4E" w:rsidRDefault="00B3770A" w:rsidP="007F1C4E">
      <w:pPr>
        <w:tabs>
          <w:tab w:val="left" w:pos="1080"/>
        </w:tabs>
        <w:spacing w:line="233" w:lineRule="auto"/>
        <w:ind w:left="1080"/>
        <w:jc w:val="both"/>
        <w:rPr>
          <w:szCs w:val="22"/>
          <w:lang w:eastAsia="zh-CN"/>
        </w:rPr>
      </w:pPr>
      <w:r w:rsidRPr="00663610">
        <w:rPr>
          <w:szCs w:val="22"/>
        </w:rPr>
        <w:t xml:space="preserve">The Court has dismissed </w:t>
      </w:r>
      <w:r w:rsidRPr="00663610">
        <w:rPr>
          <w:rFonts w:hint="eastAsia"/>
          <w:szCs w:val="22"/>
          <w:lang w:eastAsia="zh-CN"/>
        </w:rPr>
        <w:t>HLSB</w:t>
      </w:r>
      <w:r w:rsidRPr="00663610">
        <w:rPr>
          <w:szCs w:val="22"/>
        </w:rPr>
        <w:t xml:space="preserve"> claim against Mahabuilders Sdn Bhd</w:t>
      </w:r>
      <w:r w:rsidR="007C5DC2" w:rsidRPr="00663610">
        <w:rPr>
          <w:rFonts w:hint="eastAsia"/>
          <w:szCs w:val="22"/>
          <w:lang w:eastAsia="zh-CN"/>
        </w:rPr>
        <w:t xml:space="preserve"> on 16 December 2011</w:t>
      </w:r>
      <w:r w:rsidRPr="00663610">
        <w:rPr>
          <w:szCs w:val="22"/>
        </w:rPr>
        <w:t xml:space="preserve">. </w:t>
      </w:r>
      <w:r w:rsidR="007C5DC2" w:rsidRPr="00663610">
        <w:rPr>
          <w:rFonts w:hint="eastAsia"/>
          <w:szCs w:val="22"/>
          <w:lang w:eastAsia="zh-CN"/>
        </w:rPr>
        <w:t>Further thereto, a</w:t>
      </w:r>
      <w:r w:rsidR="007C5DC2" w:rsidRPr="00663610">
        <w:rPr>
          <w:szCs w:val="22"/>
        </w:rPr>
        <w:t xml:space="preserve"> Notice of Appeal against the decision made by the Court was filed by HLSB’s solicitor to the Court of Appeal on 9 January 2012. </w:t>
      </w:r>
    </w:p>
    <w:p w:rsidR="00343172" w:rsidRDefault="00343172" w:rsidP="007F1C4E">
      <w:pPr>
        <w:tabs>
          <w:tab w:val="left" w:pos="1080"/>
        </w:tabs>
        <w:spacing w:line="233" w:lineRule="auto"/>
        <w:ind w:left="1080"/>
        <w:jc w:val="both"/>
        <w:rPr>
          <w:szCs w:val="22"/>
          <w:lang w:eastAsia="zh-CN"/>
        </w:rPr>
      </w:pPr>
    </w:p>
    <w:p w:rsidR="00343172" w:rsidRDefault="00343172" w:rsidP="007F1C4E">
      <w:pPr>
        <w:tabs>
          <w:tab w:val="left" w:pos="1080"/>
        </w:tabs>
        <w:spacing w:line="233" w:lineRule="auto"/>
        <w:ind w:left="1080"/>
        <w:jc w:val="both"/>
        <w:rPr>
          <w:szCs w:val="22"/>
          <w:lang w:eastAsia="zh-CN"/>
        </w:rPr>
      </w:pPr>
      <w:r>
        <w:rPr>
          <w:rFonts w:hint="eastAsia"/>
          <w:szCs w:val="22"/>
          <w:lang w:eastAsia="zh-CN"/>
        </w:rPr>
        <w:t>The Court of Appeal, Putrajaya has fixed the above matter for case management on 12 June 2013.</w:t>
      </w:r>
    </w:p>
    <w:p w:rsidR="009E7231" w:rsidRDefault="009E7231">
      <w:pPr>
        <w:tabs>
          <w:tab w:val="clear" w:pos="720"/>
          <w:tab w:val="clear" w:pos="1440"/>
        </w:tabs>
        <w:rPr>
          <w:szCs w:val="22"/>
          <w:lang w:eastAsia="zh-CN"/>
        </w:rPr>
      </w:pPr>
    </w:p>
    <w:p w:rsidR="00741C0F" w:rsidRPr="00663610" w:rsidRDefault="00741C0F" w:rsidP="006A7FB3">
      <w:pPr>
        <w:pStyle w:val="BodyText"/>
        <w:tabs>
          <w:tab w:val="clear" w:pos="720"/>
          <w:tab w:val="clear" w:pos="1440"/>
        </w:tabs>
        <w:spacing w:line="233" w:lineRule="auto"/>
        <w:ind w:left="1080"/>
        <w:rPr>
          <w:szCs w:val="22"/>
          <w:lang w:eastAsia="zh-CN"/>
        </w:rPr>
      </w:pPr>
    </w:p>
    <w:p w:rsidR="00C32491" w:rsidRPr="007F7D22" w:rsidRDefault="00C32491" w:rsidP="007F7D22">
      <w:pPr>
        <w:pStyle w:val="ListParagraph"/>
        <w:numPr>
          <w:ilvl w:val="0"/>
          <w:numId w:val="3"/>
        </w:numPr>
        <w:tabs>
          <w:tab w:val="clear" w:pos="1440"/>
          <w:tab w:val="left" w:pos="1080"/>
        </w:tabs>
        <w:rPr>
          <w:szCs w:val="22"/>
          <w:u w:val="single"/>
        </w:rPr>
      </w:pPr>
      <w:r w:rsidRPr="007F7D22">
        <w:rPr>
          <w:szCs w:val="22"/>
          <w:u w:val="single"/>
        </w:rPr>
        <w:t xml:space="preserve">Writ of Summons and Statement of Claim By </w:t>
      </w:r>
      <w:r>
        <w:rPr>
          <w:szCs w:val="22"/>
          <w:u w:val="single"/>
        </w:rPr>
        <w:t>Allbright Industries (M)</w:t>
      </w:r>
      <w:r w:rsidRPr="007F7D22">
        <w:rPr>
          <w:szCs w:val="22"/>
          <w:u w:val="single"/>
        </w:rPr>
        <w:t xml:space="preserve"> Sdn Bhd (“</w:t>
      </w:r>
      <w:r>
        <w:rPr>
          <w:szCs w:val="22"/>
          <w:u w:val="single"/>
        </w:rPr>
        <w:t>AI</w:t>
      </w:r>
      <w:r w:rsidRPr="007F7D22">
        <w:rPr>
          <w:szCs w:val="22"/>
          <w:u w:val="single"/>
        </w:rPr>
        <w:t xml:space="preserve">SB”), a wholly-owned subsidiary of Karyon Industries Berhad (“KIB”) against </w:t>
      </w:r>
      <w:r>
        <w:rPr>
          <w:szCs w:val="22"/>
          <w:u w:val="single"/>
        </w:rPr>
        <w:t>JTTY Enterprise</w:t>
      </w:r>
    </w:p>
    <w:p w:rsidR="000D660A" w:rsidRPr="007F7D22" w:rsidRDefault="000D660A" w:rsidP="007F7D22">
      <w:pPr>
        <w:pStyle w:val="ListParagraph"/>
        <w:spacing w:line="233" w:lineRule="auto"/>
        <w:ind w:left="1080"/>
        <w:jc w:val="both"/>
        <w:rPr>
          <w:szCs w:val="22"/>
        </w:rPr>
      </w:pPr>
    </w:p>
    <w:p w:rsidR="00C32491" w:rsidRPr="007F7D22" w:rsidRDefault="00C32491" w:rsidP="007F7D22">
      <w:pPr>
        <w:pStyle w:val="ListParagraph"/>
        <w:ind w:left="1080"/>
        <w:jc w:val="both"/>
        <w:rPr>
          <w:spacing w:val="-3"/>
          <w:szCs w:val="22"/>
        </w:rPr>
      </w:pPr>
      <w:r w:rsidRPr="007F7D22">
        <w:rPr>
          <w:spacing w:val="-3"/>
          <w:szCs w:val="22"/>
        </w:rPr>
        <w:t>AISB, had on 11 May 2013 through its solicitors served the sealed Writ of Summons and Statement of Claim on JTTY Enterprise (“JTTY” or “Defendant”) for a claim of RM53,000.00 together with interest and cost being monies due and owing by JTTY to AISB for goods supplied and delivered, which was outstanding since July 2012.</w:t>
      </w:r>
    </w:p>
    <w:p w:rsidR="00C32491" w:rsidRPr="007F7D22" w:rsidRDefault="00C32491" w:rsidP="007F7D22">
      <w:pPr>
        <w:pStyle w:val="ListParagraph"/>
        <w:ind w:left="1080"/>
        <w:jc w:val="both"/>
        <w:rPr>
          <w:spacing w:val="-3"/>
          <w:szCs w:val="22"/>
        </w:rPr>
      </w:pPr>
    </w:p>
    <w:p w:rsidR="00C32491" w:rsidRPr="007F7D22" w:rsidRDefault="00C32491" w:rsidP="007F7D22">
      <w:pPr>
        <w:pStyle w:val="ListParagraph"/>
        <w:ind w:left="1080"/>
        <w:jc w:val="both"/>
        <w:rPr>
          <w:spacing w:val="-3"/>
          <w:szCs w:val="22"/>
        </w:rPr>
      </w:pPr>
      <w:r w:rsidRPr="007F7D22">
        <w:rPr>
          <w:spacing w:val="-3"/>
          <w:szCs w:val="22"/>
        </w:rPr>
        <w:t>The claim was instituted as the Defendant had failed to settle the said amount after a letter of demand was issued to the Defendant on 25 January 2013. Thereafter, the Writ of Summons and Statement of Claim was filed with and a sealed copy thereof extracted from the Johor Bahru Magistrate’s Court on 3 April 2013 for the recovery of the said amount.</w:t>
      </w:r>
    </w:p>
    <w:p w:rsidR="00C32491" w:rsidRPr="007F7D22" w:rsidRDefault="00C32491" w:rsidP="007F7D22">
      <w:pPr>
        <w:pStyle w:val="ListParagraph"/>
        <w:ind w:left="1080"/>
        <w:jc w:val="both"/>
        <w:rPr>
          <w:spacing w:val="-3"/>
          <w:szCs w:val="22"/>
        </w:rPr>
      </w:pPr>
    </w:p>
    <w:p w:rsidR="00C32491" w:rsidRDefault="00C32491" w:rsidP="007F7D22">
      <w:pPr>
        <w:pStyle w:val="ListParagraph"/>
        <w:ind w:left="1080"/>
        <w:jc w:val="both"/>
        <w:rPr>
          <w:spacing w:val="-3"/>
          <w:szCs w:val="22"/>
        </w:rPr>
      </w:pPr>
      <w:r w:rsidRPr="007F7D22">
        <w:rPr>
          <w:spacing w:val="-3"/>
          <w:szCs w:val="22"/>
        </w:rPr>
        <w:t>The matter has been fixed for case management on 20 May 2013 at the Johor Bahru Magistrate’s Court.</w:t>
      </w:r>
      <w:r w:rsidR="00342972">
        <w:rPr>
          <w:spacing w:val="-3"/>
          <w:szCs w:val="22"/>
        </w:rPr>
        <w:t xml:space="preserve"> </w:t>
      </w:r>
    </w:p>
    <w:p w:rsidR="00342972" w:rsidRDefault="00342972" w:rsidP="007F7D22">
      <w:pPr>
        <w:pStyle w:val="ListParagraph"/>
        <w:ind w:left="1080"/>
        <w:jc w:val="both"/>
        <w:rPr>
          <w:spacing w:val="-3"/>
          <w:szCs w:val="22"/>
        </w:rPr>
      </w:pPr>
    </w:p>
    <w:p w:rsidR="00342972" w:rsidRPr="007F7D22" w:rsidRDefault="00342972" w:rsidP="007F7D22">
      <w:pPr>
        <w:pStyle w:val="ListParagraph"/>
        <w:ind w:left="1080"/>
        <w:jc w:val="both"/>
        <w:rPr>
          <w:spacing w:val="-3"/>
          <w:szCs w:val="22"/>
        </w:rPr>
      </w:pPr>
      <w:r>
        <w:rPr>
          <w:spacing w:val="-3"/>
          <w:szCs w:val="22"/>
        </w:rPr>
        <w:t>Th</w:t>
      </w:r>
      <w:r w:rsidR="00332C56">
        <w:rPr>
          <w:spacing w:val="-3"/>
          <w:szCs w:val="22"/>
        </w:rPr>
        <w:t>e</w:t>
      </w:r>
      <w:r>
        <w:rPr>
          <w:spacing w:val="-3"/>
          <w:szCs w:val="22"/>
        </w:rPr>
        <w:t xml:space="preserve"> case </w:t>
      </w:r>
      <w:r w:rsidR="00332C56">
        <w:rPr>
          <w:spacing w:val="-3"/>
          <w:szCs w:val="22"/>
        </w:rPr>
        <w:t xml:space="preserve">management </w:t>
      </w:r>
      <w:r>
        <w:rPr>
          <w:spacing w:val="-3"/>
          <w:szCs w:val="22"/>
        </w:rPr>
        <w:t xml:space="preserve">has been adjourned to </w:t>
      </w:r>
      <w:r w:rsidR="00C11379">
        <w:rPr>
          <w:spacing w:val="-3"/>
          <w:szCs w:val="22"/>
        </w:rPr>
        <w:t>30 May 2013 pending the filling of Judgment in Default in the event of failure by the Defendant to enter appearance in the Court within 14 days from the date of service of the Writ</w:t>
      </w:r>
      <w:r>
        <w:rPr>
          <w:spacing w:val="-3"/>
          <w:szCs w:val="22"/>
        </w:rPr>
        <w:t>.</w:t>
      </w:r>
    </w:p>
    <w:p w:rsidR="000D660A" w:rsidRPr="00C32491" w:rsidRDefault="000D660A" w:rsidP="00E36449">
      <w:pPr>
        <w:spacing w:line="233" w:lineRule="auto"/>
        <w:ind w:left="720" w:hanging="720"/>
        <w:jc w:val="both"/>
        <w:rPr>
          <w:b/>
          <w:szCs w:val="22"/>
        </w:rPr>
      </w:pPr>
    </w:p>
    <w:p w:rsidR="00A154BF" w:rsidRPr="00663610" w:rsidRDefault="00A154BF" w:rsidP="00E36449">
      <w:pPr>
        <w:spacing w:line="233" w:lineRule="auto"/>
        <w:ind w:left="720" w:hanging="720"/>
        <w:jc w:val="both"/>
        <w:rPr>
          <w:b/>
          <w:szCs w:val="22"/>
        </w:rPr>
      </w:pPr>
      <w:r w:rsidRPr="00663610">
        <w:rPr>
          <w:b/>
          <w:szCs w:val="22"/>
        </w:rPr>
        <w:t>2</w:t>
      </w:r>
      <w:r w:rsidR="00E53573" w:rsidRPr="00663610">
        <w:rPr>
          <w:b/>
          <w:szCs w:val="22"/>
          <w:lang w:eastAsia="zh-CN"/>
        </w:rPr>
        <w:t>4</w:t>
      </w:r>
      <w:r w:rsidRPr="00663610">
        <w:rPr>
          <w:b/>
          <w:szCs w:val="22"/>
        </w:rPr>
        <w:t>.</w:t>
      </w:r>
      <w:r w:rsidRPr="00663610">
        <w:rPr>
          <w:b/>
          <w:szCs w:val="22"/>
        </w:rPr>
        <w:tab/>
        <w:t>Dividend</w:t>
      </w:r>
      <w:r w:rsidR="008A2772" w:rsidRPr="00663610">
        <w:rPr>
          <w:b/>
          <w:szCs w:val="22"/>
        </w:rPr>
        <w:t xml:space="preserve"> </w:t>
      </w:r>
    </w:p>
    <w:p w:rsidR="002B49A6" w:rsidRPr="00663610" w:rsidRDefault="002B49A6" w:rsidP="002B49A6">
      <w:pPr>
        <w:pStyle w:val="BodyText"/>
        <w:tabs>
          <w:tab w:val="clear" w:pos="1080"/>
          <w:tab w:val="clear" w:pos="1440"/>
        </w:tabs>
        <w:ind w:left="720"/>
        <w:jc w:val="left"/>
        <w:rPr>
          <w:szCs w:val="22"/>
          <w:lang w:eastAsia="zh-CN"/>
        </w:rPr>
      </w:pPr>
    </w:p>
    <w:p w:rsidR="00E52021" w:rsidRPr="001A0E58" w:rsidRDefault="00E52021" w:rsidP="00E52021">
      <w:pPr>
        <w:ind w:left="700"/>
        <w:jc w:val="both"/>
        <w:rPr>
          <w:color w:val="000000"/>
          <w:szCs w:val="22"/>
          <w:lang w:eastAsia="zh-CN"/>
        </w:rPr>
      </w:pPr>
      <w:r w:rsidRPr="001A0E58">
        <w:rPr>
          <w:color w:val="000000"/>
          <w:szCs w:val="22"/>
          <w:lang w:eastAsia="zh-CN"/>
        </w:rPr>
        <w:t xml:space="preserve">No dividend was declared or paid during the </w:t>
      </w:r>
      <w:r w:rsidRPr="001A0E58">
        <w:rPr>
          <w:bCs/>
          <w:szCs w:val="22"/>
        </w:rPr>
        <w:t>current financial quarter under review</w:t>
      </w:r>
      <w:r w:rsidRPr="001A0E58">
        <w:rPr>
          <w:color w:val="000000"/>
          <w:szCs w:val="22"/>
          <w:lang w:eastAsia="zh-CN"/>
        </w:rPr>
        <w:t>.</w:t>
      </w:r>
    </w:p>
    <w:p w:rsidR="00633442" w:rsidRDefault="00633442">
      <w:pPr>
        <w:tabs>
          <w:tab w:val="clear" w:pos="720"/>
          <w:tab w:val="clear" w:pos="1440"/>
        </w:tabs>
        <w:rPr>
          <w:color w:val="000000"/>
          <w:szCs w:val="22"/>
          <w:lang w:eastAsia="zh-CN"/>
        </w:rPr>
      </w:pPr>
      <w:r>
        <w:rPr>
          <w:color w:val="000000"/>
          <w:szCs w:val="22"/>
          <w:lang w:eastAsia="zh-CN"/>
        </w:rPr>
        <w:br w:type="page"/>
      </w:r>
    </w:p>
    <w:p w:rsidR="0091457D" w:rsidRDefault="0091457D" w:rsidP="009E5EC7">
      <w:pPr>
        <w:ind w:left="700"/>
        <w:jc w:val="both"/>
        <w:rPr>
          <w:color w:val="000000"/>
          <w:szCs w:val="22"/>
          <w:lang w:eastAsia="zh-CN"/>
        </w:rPr>
      </w:pPr>
    </w:p>
    <w:p w:rsidR="007B1D3B" w:rsidRPr="00663610" w:rsidRDefault="002B2AC8" w:rsidP="007B1D3B">
      <w:pPr>
        <w:ind w:left="700" w:hanging="700"/>
        <w:rPr>
          <w:b/>
          <w:szCs w:val="22"/>
          <w:lang w:eastAsia="zh-CN"/>
        </w:rPr>
      </w:pPr>
      <w:r w:rsidRPr="00663610">
        <w:rPr>
          <w:rFonts w:hint="eastAsia"/>
          <w:b/>
          <w:szCs w:val="22"/>
          <w:lang w:eastAsia="zh-CN"/>
        </w:rPr>
        <w:t>2</w:t>
      </w:r>
      <w:r w:rsidR="00E53573" w:rsidRPr="00663610">
        <w:rPr>
          <w:b/>
          <w:szCs w:val="22"/>
          <w:lang w:eastAsia="zh-CN"/>
        </w:rPr>
        <w:t>5</w:t>
      </w:r>
      <w:r w:rsidR="007B1D3B" w:rsidRPr="00663610">
        <w:rPr>
          <w:rFonts w:hint="eastAsia"/>
          <w:b/>
          <w:szCs w:val="22"/>
          <w:lang w:eastAsia="zh-CN"/>
        </w:rPr>
        <w:t>.</w:t>
      </w:r>
      <w:r w:rsidR="007B1D3B" w:rsidRPr="00663610">
        <w:rPr>
          <w:rFonts w:hint="eastAsia"/>
          <w:b/>
          <w:szCs w:val="22"/>
          <w:lang w:eastAsia="zh-CN"/>
        </w:rPr>
        <w:tab/>
        <w:t xml:space="preserve">Notes to </w:t>
      </w:r>
      <w:r w:rsidR="008B4D86" w:rsidRPr="00663610">
        <w:rPr>
          <w:b/>
          <w:szCs w:val="22"/>
          <w:lang w:eastAsia="zh-CN"/>
        </w:rPr>
        <w:t xml:space="preserve">the </w:t>
      </w:r>
      <w:r w:rsidR="00B01B7E" w:rsidRPr="00663610">
        <w:rPr>
          <w:rFonts w:hint="eastAsia"/>
          <w:b/>
          <w:szCs w:val="22"/>
          <w:lang w:eastAsia="zh-CN"/>
        </w:rPr>
        <w:t xml:space="preserve">Condensed Consolidated </w:t>
      </w:r>
      <w:r w:rsidR="007B1D3B" w:rsidRPr="00663610">
        <w:rPr>
          <w:rFonts w:hint="eastAsia"/>
          <w:b/>
          <w:szCs w:val="22"/>
          <w:lang w:eastAsia="zh-CN"/>
        </w:rPr>
        <w:t>Statement of Comprehensive Income</w:t>
      </w:r>
    </w:p>
    <w:p w:rsidR="007B1D3B" w:rsidRPr="00663610" w:rsidRDefault="007B1D3B" w:rsidP="00454B1A">
      <w:pPr>
        <w:ind w:left="700"/>
        <w:jc w:val="both"/>
        <w:rPr>
          <w:szCs w:val="22"/>
          <w:lang w:eastAsia="zh-CN"/>
        </w:rPr>
      </w:pPr>
    </w:p>
    <w:p w:rsidR="007B1D3B" w:rsidRPr="00663610" w:rsidRDefault="00B01B7E" w:rsidP="00454B1A">
      <w:pPr>
        <w:ind w:left="700"/>
        <w:jc w:val="both"/>
        <w:rPr>
          <w:szCs w:val="22"/>
          <w:lang w:eastAsia="zh-CN"/>
        </w:rPr>
      </w:pPr>
      <w:r w:rsidRPr="00663610">
        <w:rPr>
          <w:rFonts w:hint="eastAsia"/>
          <w:szCs w:val="22"/>
          <w:lang w:eastAsia="zh-CN"/>
        </w:rPr>
        <w:t>Profit before tax is arrived at after charging/(crediting) the following items:</w:t>
      </w:r>
    </w:p>
    <w:p w:rsidR="00B01B7E" w:rsidRPr="00663610" w:rsidRDefault="00B01B7E" w:rsidP="00454B1A">
      <w:pPr>
        <w:ind w:left="700"/>
        <w:jc w:val="both"/>
        <w:rPr>
          <w:szCs w:val="22"/>
          <w:lang w:eastAsia="zh-C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1530"/>
        <w:gridCol w:w="1350"/>
        <w:gridCol w:w="1440"/>
        <w:gridCol w:w="1530"/>
      </w:tblGrid>
      <w:tr w:rsidR="00B01B7E" w:rsidRPr="00663610" w:rsidTr="00F06AC2">
        <w:tc>
          <w:tcPr>
            <w:tcW w:w="3798" w:type="dxa"/>
            <w:tcBorders>
              <w:top w:val="single" w:sz="4" w:space="0" w:color="auto"/>
              <w:left w:val="single" w:sz="4" w:space="0" w:color="auto"/>
              <w:bottom w:val="nil"/>
              <w:right w:val="single" w:sz="4" w:space="0" w:color="auto"/>
            </w:tcBorders>
          </w:tcPr>
          <w:p w:rsidR="00B01B7E" w:rsidRPr="00663610" w:rsidRDefault="00B01B7E" w:rsidP="00C15F13">
            <w:pPr>
              <w:pStyle w:val="BodyText"/>
              <w:tabs>
                <w:tab w:val="clear" w:pos="1080"/>
              </w:tabs>
              <w:spacing w:line="233" w:lineRule="auto"/>
              <w:rPr>
                <w:i/>
                <w:iCs/>
                <w:szCs w:val="22"/>
              </w:rPr>
            </w:pPr>
          </w:p>
        </w:tc>
        <w:tc>
          <w:tcPr>
            <w:tcW w:w="2880" w:type="dxa"/>
            <w:gridSpan w:val="2"/>
            <w:tcBorders>
              <w:left w:val="single" w:sz="4" w:space="0" w:color="auto"/>
            </w:tcBorders>
          </w:tcPr>
          <w:p w:rsidR="00B01B7E" w:rsidRPr="00663610" w:rsidRDefault="00546150" w:rsidP="00546150">
            <w:pPr>
              <w:pStyle w:val="BodyText"/>
              <w:tabs>
                <w:tab w:val="clear" w:pos="1080"/>
              </w:tabs>
              <w:spacing w:line="233" w:lineRule="auto"/>
              <w:jc w:val="center"/>
              <w:rPr>
                <w:b/>
                <w:bCs/>
                <w:iCs/>
                <w:szCs w:val="22"/>
              </w:rPr>
            </w:pPr>
            <w:r>
              <w:rPr>
                <w:b/>
                <w:bCs/>
                <w:szCs w:val="22"/>
                <w:lang w:eastAsia="zh-CN"/>
              </w:rPr>
              <w:t>1st</w:t>
            </w:r>
            <w:r w:rsidR="00B01B7E" w:rsidRPr="00663610">
              <w:rPr>
                <w:b/>
                <w:bCs/>
                <w:szCs w:val="22"/>
                <w:lang w:eastAsia="zh-CN"/>
              </w:rPr>
              <w:t xml:space="preserve"> </w:t>
            </w:r>
            <w:r w:rsidR="00B01B7E" w:rsidRPr="00663610">
              <w:rPr>
                <w:b/>
                <w:bCs/>
                <w:szCs w:val="22"/>
              </w:rPr>
              <w:t>Quarter Ended</w:t>
            </w:r>
          </w:p>
        </w:tc>
        <w:tc>
          <w:tcPr>
            <w:tcW w:w="2970" w:type="dxa"/>
            <w:gridSpan w:val="2"/>
          </w:tcPr>
          <w:p w:rsidR="00B01B7E" w:rsidRPr="00663610" w:rsidRDefault="00546150" w:rsidP="00C15F13">
            <w:pPr>
              <w:pStyle w:val="BodyText"/>
              <w:tabs>
                <w:tab w:val="clear" w:pos="1080"/>
              </w:tabs>
              <w:spacing w:line="233" w:lineRule="auto"/>
              <w:jc w:val="center"/>
              <w:rPr>
                <w:b/>
                <w:bCs/>
                <w:iCs/>
                <w:szCs w:val="22"/>
              </w:rPr>
            </w:pPr>
            <w:r>
              <w:rPr>
                <w:b/>
                <w:bCs/>
                <w:szCs w:val="22"/>
                <w:lang w:eastAsia="zh-CN"/>
              </w:rPr>
              <w:t>3</w:t>
            </w:r>
            <w:r w:rsidR="00B01B7E" w:rsidRPr="00663610">
              <w:rPr>
                <w:b/>
                <w:bCs/>
                <w:szCs w:val="22"/>
                <w:lang w:eastAsia="zh-CN"/>
              </w:rPr>
              <w:t xml:space="preserve"> Months</w:t>
            </w:r>
            <w:r w:rsidR="00B01B7E" w:rsidRPr="00663610">
              <w:rPr>
                <w:b/>
                <w:bCs/>
                <w:szCs w:val="22"/>
              </w:rPr>
              <w:t xml:space="preserve"> Ended</w:t>
            </w:r>
          </w:p>
        </w:tc>
      </w:tr>
      <w:tr w:rsidR="00F969C3" w:rsidRPr="00663610" w:rsidTr="00D509EA">
        <w:tc>
          <w:tcPr>
            <w:tcW w:w="3798" w:type="dxa"/>
            <w:tcBorders>
              <w:top w:val="nil"/>
              <w:left w:val="single" w:sz="4" w:space="0" w:color="auto"/>
              <w:bottom w:val="nil"/>
              <w:right w:val="single" w:sz="4" w:space="0" w:color="auto"/>
            </w:tcBorders>
          </w:tcPr>
          <w:p w:rsidR="00F969C3" w:rsidRPr="00663610" w:rsidRDefault="00F969C3" w:rsidP="00C15F13">
            <w:pPr>
              <w:pStyle w:val="BodyText"/>
              <w:tabs>
                <w:tab w:val="clear" w:pos="1080"/>
              </w:tabs>
              <w:spacing w:line="233" w:lineRule="auto"/>
              <w:rPr>
                <w:i/>
                <w:iCs/>
                <w:szCs w:val="22"/>
              </w:rPr>
            </w:pPr>
          </w:p>
        </w:tc>
        <w:tc>
          <w:tcPr>
            <w:tcW w:w="1530" w:type="dxa"/>
            <w:tcBorders>
              <w:left w:val="single" w:sz="4" w:space="0" w:color="auto"/>
            </w:tcBorders>
          </w:tcPr>
          <w:p w:rsidR="00F969C3" w:rsidRPr="00663610" w:rsidRDefault="00546150" w:rsidP="00F969C3">
            <w:pPr>
              <w:pStyle w:val="BodyText"/>
              <w:tabs>
                <w:tab w:val="clear" w:pos="1080"/>
              </w:tabs>
              <w:spacing w:line="233" w:lineRule="auto"/>
              <w:jc w:val="center"/>
              <w:rPr>
                <w:b/>
                <w:bCs/>
                <w:szCs w:val="22"/>
                <w:lang w:eastAsia="zh-CN"/>
              </w:rPr>
            </w:pPr>
            <w:r>
              <w:rPr>
                <w:b/>
                <w:bCs/>
                <w:szCs w:val="22"/>
              </w:rPr>
              <w:t>31.03.2013</w:t>
            </w:r>
          </w:p>
        </w:tc>
        <w:tc>
          <w:tcPr>
            <w:tcW w:w="1350" w:type="dxa"/>
          </w:tcPr>
          <w:p w:rsidR="00F969C3" w:rsidRPr="00663610" w:rsidRDefault="00546150" w:rsidP="00A4603D">
            <w:pPr>
              <w:pStyle w:val="BodyText"/>
              <w:tabs>
                <w:tab w:val="clear" w:pos="1080"/>
              </w:tabs>
              <w:spacing w:line="233" w:lineRule="auto"/>
              <w:jc w:val="center"/>
              <w:rPr>
                <w:b/>
                <w:bCs/>
                <w:iCs/>
                <w:szCs w:val="22"/>
                <w:lang w:eastAsia="zh-CN"/>
              </w:rPr>
            </w:pPr>
            <w:r>
              <w:rPr>
                <w:b/>
                <w:bCs/>
                <w:iCs/>
                <w:szCs w:val="22"/>
                <w:lang w:eastAsia="zh-CN"/>
              </w:rPr>
              <w:t>31.03.2012</w:t>
            </w:r>
          </w:p>
        </w:tc>
        <w:tc>
          <w:tcPr>
            <w:tcW w:w="1440" w:type="dxa"/>
          </w:tcPr>
          <w:p w:rsidR="00F969C3" w:rsidRPr="00663610" w:rsidRDefault="00546150" w:rsidP="00F17B53">
            <w:pPr>
              <w:pStyle w:val="BodyText"/>
              <w:tabs>
                <w:tab w:val="clear" w:pos="1080"/>
              </w:tabs>
              <w:spacing w:line="233" w:lineRule="auto"/>
              <w:jc w:val="center"/>
              <w:rPr>
                <w:b/>
                <w:bCs/>
                <w:szCs w:val="22"/>
                <w:lang w:eastAsia="zh-CN"/>
              </w:rPr>
            </w:pPr>
            <w:r>
              <w:rPr>
                <w:b/>
                <w:bCs/>
                <w:szCs w:val="22"/>
              </w:rPr>
              <w:t>31.03.2013</w:t>
            </w:r>
          </w:p>
        </w:tc>
        <w:tc>
          <w:tcPr>
            <w:tcW w:w="1530" w:type="dxa"/>
          </w:tcPr>
          <w:p w:rsidR="00F969C3" w:rsidRPr="00663610" w:rsidRDefault="00546150" w:rsidP="002425E2">
            <w:pPr>
              <w:pStyle w:val="BodyText"/>
              <w:tabs>
                <w:tab w:val="clear" w:pos="1080"/>
              </w:tabs>
              <w:spacing w:line="233" w:lineRule="auto"/>
              <w:jc w:val="center"/>
              <w:rPr>
                <w:b/>
                <w:bCs/>
                <w:iCs/>
                <w:szCs w:val="22"/>
                <w:lang w:eastAsia="zh-CN"/>
              </w:rPr>
            </w:pPr>
            <w:r>
              <w:rPr>
                <w:b/>
                <w:bCs/>
                <w:iCs/>
                <w:szCs w:val="22"/>
                <w:lang w:eastAsia="zh-CN"/>
              </w:rPr>
              <w:t>31.03.2012</w:t>
            </w:r>
          </w:p>
        </w:tc>
      </w:tr>
      <w:tr w:rsidR="0038570A" w:rsidRPr="00663610" w:rsidTr="00D509EA">
        <w:tc>
          <w:tcPr>
            <w:tcW w:w="3798" w:type="dxa"/>
            <w:tcBorders>
              <w:top w:val="nil"/>
            </w:tcBorders>
          </w:tcPr>
          <w:p w:rsidR="0038570A" w:rsidRPr="00663610" w:rsidRDefault="0038570A" w:rsidP="00C15F13">
            <w:pPr>
              <w:pStyle w:val="BodyText"/>
              <w:tabs>
                <w:tab w:val="clear" w:pos="1080"/>
              </w:tabs>
              <w:spacing w:line="233" w:lineRule="auto"/>
              <w:rPr>
                <w:iCs/>
                <w:szCs w:val="22"/>
                <w:lang w:eastAsia="zh-CN"/>
              </w:rPr>
            </w:pPr>
          </w:p>
        </w:tc>
        <w:tc>
          <w:tcPr>
            <w:tcW w:w="1530" w:type="dxa"/>
          </w:tcPr>
          <w:p w:rsidR="0038570A" w:rsidRPr="00663610" w:rsidRDefault="0038570A" w:rsidP="00C15F13">
            <w:pPr>
              <w:pStyle w:val="BodyText"/>
              <w:tabs>
                <w:tab w:val="clear" w:pos="1080"/>
              </w:tabs>
              <w:spacing w:line="233" w:lineRule="auto"/>
              <w:jc w:val="center"/>
              <w:rPr>
                <w:b/>
                <w:bCs/>
                <w:szCs w:val="22"/>
                <w:lang w:eastAsia="zh-CN"/>
              </w:rPr>
            </w:pPr>
            <w:r w:rsidRPr="00663610">
              <w:rPr>
                <w:b/>
                <w:bCs/>
                <w:szCs w:val="22"/>
                <w:lang w:eastAsia="zh-CN"/>
              </w:rPr>
              <w:t>R</w:t>
            </w:r>
            <w:r w:rsidRPr="00663610">
              <w:rPr>
                <w:rFonts w:hint="eastAsia"/>
                <w:b/>
                <w:bCs/>
                <w:szCs w:val="22"/>
                <w:lang w:eastAsia="zh-CN"/>
              </w:rPr>
              <w:t>M</w:t>
            </w:r>
            <w:r w:rsidRPr="00663610">
              <w:rPr>
                <w:b/>
                <w:bCs/>
                <w:szCs w:val="22"/>
                <w:lang w:eastAsia="zh-CN"/>
              </w:rPr>
              <w:t>’</w:t>
            </w:r>
            <w:r w:rsidRPr="00663610">
              <w:rPr>
                <w:rFonts w:hint="eastAsia"/>
                <w:b/>
                <w:bCs/>
                <w:szCs w:val="22"/>
                <w:lang w:eastAsia="zh-CN"/>
              </w:rPr>
              <w:t>000</w:t>
            </w:r>
          </w:p>
        </w:tc>
        <w:tc>
          <w:tcPr>
            <w:tcW w:w="1350" w:type="dxa"/>
          </w:tcPr>
          <w:p w:rsidR="0038570A" w:rsidRPr="00663610" w:rsidRDefault="0038570A" w:rsidP="00C15F13">
            <w:pPr>
              <w:pStyle w:val="BodyText"/>
              <w:tabs>
                <w:tab w:val="clear" w:pos="1080"/>
              </w:tabs>
              <w:spacing w:line="233" w:lineRule="auto"/>
              <w:jc w:val="center"/>
              <w:rPr>
                <w:bCs/>
                <w:iCs/>
                <w:szCs w:val="22"/>
                <w:lang w:eastAsia="zh-CN"/>
              </w:rPr>
            </w:pPr>
            <w:r w:rsidRPr="00663610">
              <w:rPr>
                <w:b/>
                <w:bCs/>
                <w:szCs w:val="22"/>
                <w:lang w:eastAsia="zh-CN"/>
              </w:rPr>
              <w:t>R</w:t>
            </w:r>
            <w:r w:rsidRPr="00663610">
              <w:rPr>
                <w:rFonts w:hint="eastAsia"/>
                <w:b/>
                <w:bCs/>
                <w:szCs w:val="22"/>
                <w:lang w:eastAsia="zh-CN"/>
              </w:rPr>
              <w:t>M</w:t>
            </w:r>
            <w:r w:rsidRPr="00663610">
              <w:rPr>
                <w:b/>
                <w:bCs/>
                <w:szCs w:val="22"/>
                <w:lang w:eastAsia="zh-CN"/>
              </w:rPr>
              <w:t>’</w:t>
            </w:r>
            <w:r w:rsidRPr="00663610">
              <w:rPr>
                <w:rFonts w:hint="eastAsia"/>
                <w:b/>
                <w:bCs/>
                <w:szCs w:val="22"/>
                <w:lang w:eastAsia="zh-CN"/>
              </w:rPr>
              <w:t>000</w:t>
            </w:r>
          </w:p>
        </w:tc>
        <w:tc>
          <w:tcPr>
            <w:tcW w:w="1440" w:type="dxa"/>
          </w:tcPr>
          <w:p w:rsidR="0038570A" w:rsidRPr="00663610" w:rsidRDefault="0038570A" w:rsidP="00C15F13">
            <w:pPr>
              <w:pStyle w:val="BodyText"/>
              <w:tabs>
                <w:tab w:val="clear" w:pos="1080"/>
              </w:tabs>
              <w:spacing w:line="233" w:lineRule="auto"/>
              <w:jc w:val="center"/>
              <w:rPr>
                <w:bCs/>
                <w:szCs w:val="22"/>
                <w:lang w:eastAsia="zh-CN"/>
              </w:rPr>
            </w:pPr>
            <w:r w:rsidRPr="00663610">
              <w:rPr>
                <w:b/>
                <w:bCs/>
                <w:szCs w:val="22"/>
                <w:lang w:eastAsia="zh-CN"/>
              </w:rPr>
              <w:t>R</w:t>
            </w:r>
            <w:r w:rsidRPr="00663610">
              <w:rPr>
                <w:rFonts w:hint="eastAsia"/>
                <w:b/>
                <w:bCs/>
                <w:szCs w:val="22"/>
                <w:lang w:eastAsia="zh-CN"/>
              </w:rPr>
              <w:t>M</w:t>
            </w:r>
            <w:r w:rsidRPr="00663610">
              <w:rPr>
                <w:b/>
                <w:bCs/>
                <w:szCs w:val="22"/>
                <w:lang w:eastAsia="zh-CN"/>
              </w:rPr>
              <w:t>’</w:t>
            </w:r>
            <w:r w:rsidRPr="00663610">
              <w:rPr>
                <w:rFonts w:hint="eastAsia"/>
                <w:b/>
                <w:bCs/>
                <w:szCs w:val="22"/>
                <w:lang w:eastAsia="zh-CN"/>
              </w:rPr>
              <w:t>000</w:t>
            </w:r>
          </w:p>
        </w:tc>
        <w:tc>
          <w:tcPr>
            <w:tcW w:w="1530" w:type="dxa"/>
          </w:tcPr>
          <w:p w:rsidR="0038570A" w:rsidRPr="00663610" w:rsidRDefault="0038570A" w:rsidP="00C15F13">
            <w:pPr>
              <w:pStyle w:val="BodyText"/>
              <w:tabs>
                <w:tab w:val="clear" w:pos="1080"/>
              </w:tabs>
              <w:spacing w:line="233" w:lineRule="auto"/>
              <w:jc w:val="center"/>
              <w:rPr>
                <w:bCs/>
                <w:iCs/>
                <w:szCs w:val="22"/>
                <w:lang w:eastAsia="zh-CN"/>
              </w:rPr>
            </w:pPr>
            <w:r w:rsidRPr="00663610">
              <w:rPr>
                <w:b/>
                <w:bCs/>
                <w:szCs w:val="22"/>
                <w:lang w:eastAsia="zh-CN"/>
              </w:rPr>
              <w:t>R</w:t>
            </w:r>
            <w:r w:rsidRPr="00663610">
              <w:rPr>
                <w:rFonts w:hint="eastAsia"/>
                <w:b/>
                <w:bCs/>
                <w:szCs w:val="22"/>
                <w:lang w:eastAsia="zh-CN"/>
              </w:rPr>
              <w:t>M</w:t>
            </w:r>
            <w:r w:rsidRPr="00663610">
              <w:rPr>
                <w:b/>
                <w:bCs/>
                <w:szCs w:val="22"/>
                <w:lang w:eastAsia="zh-CN"/>
              </w:rPr>
              <w:t>’</w:t>
            </w:r>
            <w:r w:rsidRPr="00663610">
              <w:rPr>
                <w:rFonts w:hint="eastAsia"/>
                <w:b/>
                <w:bCs/>
                <w:szCs w:val="22"/>
                <w:lang w:eastAsia="zh-CN"/>
              </w:rPr>
              <w:t>000</w:t>
            </w:r>
          </w:p>
        </w:tc>
      </w:tr>
      <w:tr w:rsidR="004567BB" w:rsidRPr="00663610" w:rsidTr="005A5FD6">
        <w:tc>
          <w:tcPr>
            <w:tcW w:w="3798" w:type="dxa"/>
            <w:tcBorders>
              <w:top w:val="single" w:sz="4" w:space="0" w:color="auto"/>
            </w:tcBorders>
          </w:tcPr>
          <w:p w:rsidR="004567BB" w:rsidRPr="00663610" w:rsidRDefault="004567BB" w:rsidP="00B10589">
            <w:pPr>
              <w:pStyle w:val="BodyText"/>
              <w:tabs>
                <w:tab w:val="clear" w:pos="1080"/>
              </w:tabs>
              <w:spacing w:line="233" w:lineRule="auto"/>
              <w:ind w:left="180" w:hanging="180"/>
              <w:rPr>
                <w:iCs/>
                <w:szCs w:val="22"/>
                <w:lang w:eastAsia="zh-CN"/>
              </w:rPr>
            </w:pPr>
            <w:r w:rsidRPr="00663610">
              <w:rPr>
                <w:rFonts w:hint="eastAsia"/>
                <w:iCs/>
                <w:szCs w:val="22"/>
                <w:lang w:eastAsia="zh-CN"/>
              </w:rPr>
              <w:t xml:space="preserve">Amortisation of </w:t>
            </w:r>
            <w:r w:rsidRPr="00663610">
              <w:rPr>
                <w:iCs/>
                <w:szCs w:val="22"/>
                <w:lang w:eastAsia="zh-CN"/>
              </w:rPr>
              <w:t>prepaid lease payments for land</w:t>
            </w:r>
          </w:p>
          <w:p w:rsidR="004567BB" w:rsidRPr="00663610" w:rsidRDefault="004567BB" w:rsidP="00BB6715">
            <w:pPr>
              <w:pStyle w:val="BodyText"/>
              <w:tabs>
                <w:tab w:val="clear" w:pos="1080"/>
              </w:tabs>
              <w:spacing w:line="233" w:lineRule="auto"/>
              <w:rPr>
                <w:iCs/>
                <w:szCs w:val="22"/>
                <w:lang w:eastAsia="zh-CN"/>
              </w:rPr>
            </w:pPr>
          </w:p>
        </w:tc>
        <w:tc>
          <w:tcPr>
            <w:tcW w:w="1530" w:type="dxa"/>
          </w:tcPr>
          <w:p w:rsidR="004567BB" w:rsidRPr="00663610" w:rsidRDefault="004567BB" w:rsidP="008A6B21">
            <w:pPr>
              <w:pStyle w:val="BodyText"/>
              <w:tabs>
                <w:tab w:val="clear" w:pos="1080"/>
              </w:tabs>
              <w:spacing w:line="233" w:lineRule="auto"/>
              <w:jc w:val="center"/>
              <w:rPr>
                <w:bCs/>
                <w:szCs w:val="22"/>
                <w:lang w:eastAsia="zh-CN"/>
              </w:rPr>
            </w:pPr>
          </w:p>
          <w:p w:rsidR="004567BB" w:rsidRPr="00663610" w:rsidRDefault="004E7462" w:rsidP="008A6B21">
            <w:pPr>
              <w:pStyle w:val="BodyText"/>
              <w:tabs>
                <w:tab w:val="clear" w:pos="1080"/>
              </w:tabs>
              <w:spacing w:line="233" w:lineRule="auto"/>
              <w:jc w:val="center"/>
              <w:rPr>
                <w:bCs/>
                <w:szCs w:val="22"/>
                <w:lang w:eastAsia="zh-CN"/>
              </w:rPr>
            </w:pPr>
            <w:r>
              <w:rPr>
                <w:rFonts w:hint="eastAsia"/>
                <w:bCs/>
                <w:szCs w:val="22"/>
                <w:lang w:eastAsia="zh-CN"/>
              </w:rPr>
              <w:t>2</w:t>
            </w:r>
          </w:p>
        </w:tc>
        <w:tc>
          <w:tcPr>
            <w:tcW w:w="1350" w:type="dxa"/>
          </w:tcPr>
          <w:p w:rsidR="004567BB" w:rsidRPr="00663610" w:rsidRDefault="004567BB" w:rsidP="008A6B21">
            <w:pPr>
              <w:pStyle w:val="BodyText"/>
              <w:tabs>
                <w:tab w:val="clear" w:pos="1080"/>
              </w:tabs>
              <w:spacing w:line="233" w:lineRule="auto"/>
              <w:jc w:val="center"/>
              <w:rPr>
                <w:bCs/>
                <w:iCs/>
                <w:szCs w:val="22"/>
                <w:lang w:eastAsia="zh-CN"/>
              </w:rPr>
            </w:pPr>
          </w:p>
          <w:p w:rsidR="004567BB" w:rsidRDefault="00546150" w:rsidP="008A6B21">
            <w:pPr>
              <w:pStyle w:val="BodyText"/>
              <w:tabs>
                <w:tab w:val="clear" w:pos="1080"/>
              </w:tabs>
              <w:spacing w:line="233" w:lineRule="auto"/>
              <w:jc w:val="center"/>
              <w:rPr>
                <w:bCs/>
                <w:iCs/>
                <w:szCs w:val="22"/>
                <w:lang w:eastAsia="zh-CN"/>
              </w:rPr>
            </w:pPr>
            <w:r>
              <w:rPr>
                <w:bCs/>
                <w:iCs/>
                <w:szCs w:val="22"/>
                <w:lang w:eastAsia="zh-CN"/>
              </w:rPr>
              <w:t>2</w:t>
            </w:r>
          </w:p>
          <w:p w:rsidR="002425E2" w:rsidRPr="00663610" w:rsidRDefault="002425E2" w:rsidP="008A6B21">
            <w:pPr>
              <w:pStyle w:val="BodyText"/>
              <w:tabs>
                <w:tab w:val="clear" w:pos="1080"/>
              </w:tabs>
              <w:spacing w:line="233" w:lineRule="auto"/>
              <w:jc w:val="center"/>
              <w:rPr>
                <w:bCs/>
                <w:iCs/>
                <w:szCs w:val="22"/>
                <w:lang w:eastAsia="zh-CN"/>
              </w:rPr>
            </w:pPr>
          </w:p>
        </w:tc>
        <w:tc>
          <w:tcPr>
            <w:tcW w:w="1440" w:type="dxa"/>
          </w:tcPr>
          <w:p w:rsidR="00DC3467" w:rsidRDefault="00DC3467" w:rsidP="005A5FD6">
            <w:pPr>
              <w:pStyle w:val="BodyText"/>
              <w:tabs>
                <w:tab w:val="clear" w:pos="1080"/>
              </w:tabs>
              <w:spacing w:line="233" w:lineRule="auto"/>
              <w:jc w:val="center"/>
              <w:rPr>
                <w:bCs/>
                <w:szCs w:val="22"/>
                <w:lang w:eastAsia="zh-CN"/>
              </w:rPr>
            </w:pPr>
          </w:p>
          <w:p w:rsidR="004567BB" w:rsidRPr="00663610" w:rsidRDefault="004E7462" w:rsidP="005A5FD6">
            <w:pPr>
              <w:pStyle w:val="BodyText"/>
              <w:tabs>
                <w:tab w:val="clear" w:pos="1080"/>
              </w:tabs>
              <w:spacing w:line="233" w:lineRule="auto"/>
              <w:jc w:val="center"/>
              <w:rPr>
                <w:bCs/>
                <w:szCs w:val="22"/>
                <w:lang w:eastAsia="zh-CN"/>
              </w:rPr>
            </w:pPr>
            <w:r>
              <w:rPr>
                <w:rFonts w:hint="eastAsia"/>
                <w:bCs/>
                <w:szCs w:val="22"/>
                <w:lang w:eastAsia="zh-CN"/>
              </w:rPr>
              <w:t>2</w:t>
            </w:r>
          </w:p>
        </w:tc>
        <w:tc>
          <w:tcPr>
            <w:tcW w:w="1530" w:type="dxa"/>
          </w:tcPr>
          <w:p w:rsidR="004567BB" w:rsidRDefault="004567BB" w:rsidP="005A5FD6">
            <w:pPr>
              <w:pStyle w:val="BodyText"/>
              <w:tabs>
                <w:tab w:val="clear" w:pos="1080"/>
              </w:tabs>
              <w:spacing w:line="233" w:lineRule="auto"/>
              <w:jc w:val="center"/>
              <w:rPr>
                <w:bCs/>
                <w:iCs/>
                <w:szCs w:val="22"/>
                <w:lang w:eastAsia="zh-CN"/>
              </w:rPr>
            </w:pPr>
          </w:p>
          <w:p w:rsidR="002425E2" w:rsidRPr="00663610" w:rsidRDefault="00546150" w:rsidP="005A5FD6">
            <w:pPr>
              <w:pStyle w:val="BodyText"/>
              <w:tabs>
                <w:tab w:val="clear" w:pos="1080"/>
              </w:tabs>
              <w:spacing w:line="233" w:lineRule="auto"/>
              <w:jc w:val="center"/>
              <w:rPr>
                <w:bCs/>
                <w:iCs/>
                <w:szCs w:val="22"/>
                <w:lang w:eastAsia="zh-CN"/>
              </w:rPr>
            </w:pPr>
            <w:r>
              <w:rPr>
                <w:bCs/>
                <w:iCs/>
                <w:szCs w:val="22"/>
                <w:lang w:eastAsia="zh-CN"/>
              </w:rPr>
              <w:t>2</w:t>
            </w:r>
          </w:p>
        </w:tc>
      </w:tr>
      <w:tr w:rsidR="004567BB" w:rsidRPr="00663610" w:rsidTr="00F06AC2">
        <w:tc>
          <w:tcPr>
            <w:tcW w:w="3798" w:type="dxa"/>
          </w:tcPr>
          <w:p w:rsidR="004567BB" w:rsidRPr="00663610" w:rsidRDefault="004567BB" w:rsidP="00C15F13">
            <w:pPr>
              <w:pStyle w:val="BodyText"/>
              <w:tabs>
                <w:tab w:val="clear" w:pos="1080"/>
              </w:tabs>
              <w:spacing w:line="233" w:lineRule="auto"/>
              <w:rPr>
                <w:iCs/>
                <w:szCs w:val="22"/>
                <w:lang w:eastAsia="zh-CN"/>
              </w:rPr>
            </w:pPr>
            <w:r w:rsidRPr="00663610">
              <w:rPr>
                <w:rFonts w:hint="eastAsia"/>
                <w:iCs/>
                <w:szCs w:val="22"/>
                <w:lang w:eastAsia="zh-CN"/>
              </w:rPr>
              <w:t>Bad debts written off</w:t>
            </w:r>
          </w:p>
          <w:p w:rsidR="004567BB" w:rsidRPr="00663610" w:rsidRDefault="004567BB" w:rsidP="00C15F13">
            <w:pPr>
              <w:pStyle w:val="BodyText"/>
              <w:tabs>
                <w:tab w:val="clear" w:pos="1080"/>
              </w:tabs>
              <w:spacing w:line="233" w:lineRule="auto"/>
              <w:rPr>
                <w:iCs/>
                <w:szCs w:val="22"/>
                <w:lang w:eastAsia="zh-CN"/>
              </w:rPr>
            </w:pPr>
          </w:p>
        </w:tc>
        <w:tc>
          <w:tcPr>
            <w:tcW w:w="1530" w:type="dxa"/>
          </w:tcPr>
          <w:p w:rsidR="004567BB" w:rsidRPr="00663610" w:rsidRDefault="00DC3467" w:rsidP="008A6B21">
            <w:pPr>
              <w:pStyle w:val="BodyText"/>
              <w:tabs>
                <w:tab w:val="clear" w:pos="1080"/>
              </w:tabs>
              <w:spacing w:line="233" w:lineRule="auto"/>
              <w:jc w:val="center"/>
              <w:rPr>
                <w:bCs/>
                <w:szCs w:val="22"/>
                <w:lang w:eastAsia="zh-CN"/>
              </w:rPr>
            </w:pPr>
            <w:r>
              <w:rPr>
                <w:bCs/>
                <w:szCs w:val="22"/>
                <w:lang w:eastAsia="zh-CN"/>
              </w:rPr>
              <w:t>53</w:t>
            </w:r>
          </w:p>
        </w:tc>
        <w:tc>
          <w:tcPr>
            <w:tcW w:w="1350" w:type="dxa"/>
          </w:tcPr>
          <w:p w:rsidR="004567BB" w:rsidRPr="00663610" w:rsidRDefault="00546150" w:rsidP="008A6B21">
            <w:pPr>
              <w:pStyle w:val="BodyText"/>
              <w:tabs>
                <w:tab w:val="clear" w:pos="1080"/>
              </w:tabs>
              <w:spacing w:line="233" w:lineRule="auto"/>
              <w:jc w:val="center"/>
              <w:rPr>
                <w:bCs/>
                <w:iCs/>
                <w:szCs w:val="22"/>
                <w:lang w:eastAsia="zh-CN"/>
              </w:rPr>
            </w:pPr>
            <w:r>
              <w:rPr>
                <w:bCs/>
                <w:iCs/>
                <w:szCs w:val="22"/>
                <w:lang w:eastAsia="zh-CN"/>
              </w:rPr>
              <w:t>30</w:t>
            </w:r>
          </w:p>
        </w:tc>
        <w:tc>
          <w:tcPr>
            <w:tcW w:w="1440" w:type="dxa"/>
          </w:tcPr>
          <w:p w:rsidR="004567BB" w:rsidRPr="00663610" w:rsidRDefault="00DC3467" w:rsidP="00F82BA0">
            <w:pPr>
              <w:pStyle w:val="BodyText"/>
              <w:tabs>
                <w:tab w:val="clear" w:pos="1080"/>
              </w:tabs>
              <w:spacing w:line="233" w:lineRule="auto"/>
              <w:jc w:val="center"/>
              <w:rPr>
                <w:bCs/>
                <w:szCs w:val="22"/>
                <w:lang w:eastAsia="zh-CN"/>
              </w:rPr>
            </w:pPr>
            <w:r>
              <w:rPr>
                <w:bCs/>
                <w:szCs w:val="22"/>
                <w:lang w:eastAsia="zh-CN"/>
              </w:rPr>
              <w:t>53</w:t>
            </w:r>
          </w:p>
        </w:tc>
        <w:tc>
          <w:tcPr>
            <w:tcW w:w="1530" w:type="dxa"/>
          </w:tcPr>
          <w:p w:rsidR="004567BB" w:rsidRPr="00663610" w:rsidRDefault="00546150" w:rsidP="00F82BA0">
            <w:pPr>
              <w:pStyle w:val="BodyText"/>
              <w:tabs>
                <w:tab w:val="clear" w:pos="1080"/>
              </w:tabs>
              <w:spacing w:line="233" w:lineRule="auto"/>
              <w:jc w:val="center"/>
              <w:rPr>
                <w:bCs/>
                <w:iCs/>
                <w:szCs w:val="22"/>
                <w:lang w:eastAsia="zh-CN"/>
              </w:rPr>
            </w:pPr>
            <w:r>
              <w:rPr>
                <w:bCs/>
                <w:iCs/>
                <w:szCs w:val="22"/>
                <w:lang w:eastAsia="zh-CN"/>
              </w:rPr>
              <w:t>30</w:t>
            </w:r>
          </w:p>
        </w:tc>
      </w:tr>
      <w:tr w:rsidR="004567BB" w:rsidRPr="00663610" w:rsidTr="00F06AC2">
        <w:tc>
          <w:tcPr>
            <w:tcW w:w="3798" w:type="dxa"/>
          </w:tcPr>
          <w:p w:rsidR="004567BB" w:rsidRPr="00663610" w:rsidRDefault="004567BB" w:rsidP="00C15F13">
            <w:pPr>
              <w:pStyle w:val="BodyText"/>
              <w:tabs>
                <w:tab w:val="clear" w:pos="1080"/>
              </w:tabs>
              <w:spacing w:line="233" w:lineRule="auto"/>
              <w:rPr>
                <w:iCs/>
                <w:szCs w:val="22"/>
                <w:lang w:eastAsia="zh-CN"/>
              </w:rPr>
            </w:pPr>
            <w:r w:rsidRPr="00663610">
              <w:rPr>
                <w:rFonts w:hint="eastAsia"/>
                <w:iCs/>
                <w:szCs w:val="22"/>
                <w:lang w:eastAsia="zh-CN"/>
              </w:rPr>
              <w:t>Bad debts recovery</w:t>
            </w:r>
          </w:p>
          <w:p w:rsidR="004567BB" w:rsidRPr="00663610" w:rsidRDefault="004567BB" w:rsidP="00C15F13">
            <w:pPr>
              <w:pStyle w:val="BodyText"/>
              <w:tabs>
                <w:tab w:val="clear" w:pos="1080"/>
              </w:tabs>
              <w:spacing w:line="233" w:lineRule="auto"/>
              <w:rPr>
                <w:iCs/>
                <w:szCs w:val="22"/>
                <w:lang w:eastAsia="zh-CN"/>
              </w:rPr>
            </w:pPr>
          </w:p>
        </w:tc>
        <w:tc>
          <w:tcPr>
            <w:tcW w:w="1530" w:type="dxa"/>
          </w:tcPr>
          <w:p w:rsidR="004567BB" w:rsidRPr="00663610" w:rsidRDefault="00146E68" w:rsidP="00146E68">
            <w:pPr>
              <w:pStyle w:val="BodyText"/>
              <w:tabs>
                <w:tab w:val="clear" w:pos="1080"/>
              </w:tabs>
              <w:spacing w:line="233" w:lineRule="auto"/>
              <w:jc w:val="center"/>
              <w:rPr>
                <w:bCs/>
                <w:szCs w:val="22"/>
                <w:lang w:eastAsia="zh-CN"/>
              </w:rPr>
            </w:pPr>
            <w:r>
              <w:rPr>
                <w:bCs/>
                <w:szCs w:val="22"/>
                <w:lang w:eastAsia="zh-CN"/>
              </w:rPr>
              <w:t>-</w:t>
            </w:r>
          </w:p>
        </w:tc>
        <w:tc>
          <w:tcPr>
            <w:tcW w:w="1350" w:type="dxa"/>
          </w:tcPr>
          <w:p w:rsidR="004567BB" w:rsidRPr="00663610" w:rsidRDefault="00546150" w:rsidP="00FD0FB5">
            <w:pPr>
              <w:pStyle w:val="BodyText"/>
              <w:tabs>
                <w:tab w:val="clear" w:pos="1080"/>
              </w:tabs>
              <w:spacing w:line="233" w:lineRule="auto"/>
              <w:jc w:val="center"/>
              <w:rPr>
                <w:bCs/>
                <w:iCs/>
                <w:szCs w:val="22"/>
                <w:lang w:eastAsia="zh-CN"/>
              </w:rPr>
            </w:pPr>
            <w:r>
              <w:rPr>
                <w:bCs/>
                <w:iCs/>
                <w:szCs w:val="22"/>
                <w:lang w:eastAsia="zh-CN"/>
              </w:rPr>
              <w:t>(8)</w:t>
            </w:r>
          </w:p>
        </w:tc>
        <w:tc>
          <w:tcPr>
            <w:tcW w:w="1440" w:type="dxa"/>
          </w:tcPr>
          <w:p w:rsidR="004567BB" w:rsidRPr="00663610" w:rsidRDefault="00DC3467" w:rsidP="004567BB">
            <w:pPr>
              <w:pStyle w:val="BodyText"/>
              <w:tabs>
                <w:tab w:val="clear" w:pos="1080"/>
              </w:tabs>
              <w:spacing w:line="233" w:lineRule="auto"/>
              <w:jc w:val="center"/>
              <w:rPr>
                <w:bCs/>
                <w:szCs w:val="22"/>
                <w:lang w:eastAsia="zh-CN"/>
              </w:rPr>
            </w:pPr>
            <w:r>
              <w:rPr>
                <w:bCs/>
                <w:szCs w:val="22"/>
                <w:lang w:eastAsia="zh-CN"/>
              </w:rPr>
              <w:t>-</w:t>
            </w:r>
          </w:p>
        </w:tc>
        <w:tc>
          <w:tcPr>
            <w:tcW w:w="1530" w:type="dxa"/>
          </w:tcPr>
          <w:p w:rsidR="004567BB" w:rsidRPr="00663610" w:rsidRDefault="00546150" w:rsidP="002425E2">
            <w:pPr>
              <w:pStyle w:val="BodyText"/>
              <w:tabs>
                <w:tab w:val="clear" w:pos="1080"/>
              </w:tabs>
              <w:spacing w:line="233" w:lineRule="auto"/>
              <w:jc w:val="center"/>
              <w:rPr>
                <w:bCs/>
                <w:iCs/>
                <w:szCs w:val="22"/>
                <w:lang w:eastAsia="zh-CN"/>
              </w:rPr>
            </w:pPr>
            <w:r>
              <w:rPr>
                <w:bCs/>
                <w:iCs/>
                <w:szCs w:val="22"/>
                <w:lang w:eastAsia="zh-CN"/>
              </w:rPr>
              <w:t>(8)</w:t>
            </w:r>
          </w:p>
        </w:tc>
      </w:tr>
      <w:tr w:rsidR="004567BB" w:rsidRPr="00663610" w:rsidTr="00F06AC2">
        <w:tc>
          <w:tcPr>
            <w:tcW w:w="3798" w:type="dxa"/>
          </w:tcPr>
          <w:p w:rsidR="004567BB" w:rsidRPr="00663610" w:rsidRDefault="004567BB" w:rsidP="008B4D86">
            <w:pPr>
              <w:pStyle w:val="BodyText"/>
              <w:tabs>
                <w:tab w:val="clear" w:pos="1080"/>
              </w:tabs>
              <w:spacing w:line="233" w:lineRule="auto"/>
              <w:ind w:left="180" w:hanging="180"/>
              <w:rPr>
                <w:iCs/>
                <w:szCs w:val="22"/>
                <w:lang w:eastAsia="zh-CN"/>
              </w:rPr>
            </w:pPr>
            <w:r w:rsidRPr="00663610">
              <w:rPr>
                <w:rFonts w:hint="eastAsia"/>
                <w:iCs/>
                <w:szCs w:val="22"/>
                <w:lang w:eastAsia="zh-CN"/>
              </w:rPr>
              <w:t>Depreciation o</w:t>
            </w:r>
            <w:r w:rsidRPr="00663610">
              <w:rPr>
                <w:iCs/>
                <w:szCs w:val="22"/>
                <w:lang w:eastAsia="zh-CN"/>
              </w:rPr>
              <w:t>f</w:t>
            </w:r>
            <w:r w:rsidRPr="00663610">
              <w:rPr>
                <w:rFonts w:hint="eastAsia"/>
                <w:iCs/>
                <w:szCs w:val="22"/>
                <w:lang w:eastAsia="zh-CN"/>
              </w:rPr>
              <w:t xml:space="preserve"> property, plant </w:t>
            </w:r>
            <w:r w:rsidRPr="00663610">
              <w:rPr>
                <w:iCs/>
                <w:szCs w:val="22"/>
                <w:lang w:eastAsia="zh-CN"/>
              </w:rPr>
              <w:t>and</w:t>
            </w:r>
            <w:r w:rsidRPr="00663610">
              <w:rPr>
                <w:rFonts w:hint="eastAsia"/>
                <w:iCs/>
                <w:szCs w:val="22"/>
                <w:lang w:eastAsia="zh-CN"/>
              </w:rPr>
              <w:t xml:space="preserve"> equipment</w:t>
            </w:r>
          </w:p>
          <w:p w:rsidR="004567BB" w:rsidRPr="00663610" w:rsidRDefault="004567BB" w:rsidP="008B4D86">
            <w:pPr>
              <w:pStyle w:val="BodyText"/>
              <w:tabs>
                <w:tab w:val="clear" w:pos="1080"/>
              </w:tabs>
              <w:spacing w:line="233" w:lineRule="auto"/>
              <w:ind w:left="180" w:hanging="180"/>
              <w:rPr>
                <w:iCs/>
                <w:szCs w:val="22"/>
                <w:lang w:eastAsia="zh-CN"/>
              </w:rPr>
            </w:pPr>
          </w:p>
        </w:tc>
        <w:tc>
          <w:tcPr>
            <w:tcW w:w="1530" w:type="dxa"/>
          </w:tcPr>
          <w:p w:rsidR="004567BB" w:rsidRDefault="004567BB" w:rsidP="008A6B21">
            <w:pPr>
              <w:pStyle w:val="BodyText"/>
              <w:tabs>
                <w:tab w:val="clear" w:pos="1080"/>
              </w:tabs>
              <w:spacing w:line="233" w:lineRule="auto"/>
              <w:jc w:val="center"/>
              <w:rPr>
                <w:bCs/>
                <w:szCs w:val="22"/>
                <w:lang w:eastAsia="zh-CN"/>
              </w:rPr>
            </w:pPr>
          </w:p>
          <w:p w:rsidR="00146E68" w:rsidRPr="00663610" w:rsidRDefault="00DC3467" w:rsidP="008A6B21">
            <w:pPr>
              <w:pStyle w:val="BodyText"/>
              <w:tabs>
                <w:tab w:val="clear" w:pos="1080"/>
              </w:tabs>
              <w:spacing w:line="233" w:lineRule="auto"/>
              <w:jc w:val="center"/>
              <w:rPr>
                <w:bCs/>
                <w:szCs w:val="22"/>
                <w:lang w:eastAsia="zh-CN"/>
              </w:rPr>
            </w:pPr>
            <w:r>
              <w:rPr>
                <w:bCs/>
                <w:szCs w:val="22"/>
                <w:lang w:eastAsia="zh-CN"/>
              </w:rPr>
              <w:t>198</w:t>
            </w:r>
          </w:p>
        </w:tc>
        <w:tc>
          <w:tcPr>
            <w:tcW w:w="1350" w:type="dxa"/>
          </w:tcPr>
          <w:p w:rsidR="004567BB" w:rsidRDefault="004567BB" w:rsidP="008A6B21">
            <w:pPr>
              <w:pStyle w:val="BodyText"/>
              <w:tabs>
                <w:tab w:val="clear" w:pos="1080"/>
              </w:tabs>
              <w:spacing w:line="233" w:lineRule="auto"/>
              <w:jc w:val="center"/>
              <w:rPr>
                <w:bCs/>
                <w:iCs/>
                <w:szCs w:val="22"/>
                <w:lang w:eastAsia="zh-CN"/>
              </w:rPr>
            </w:pPr>
          </w:p>
          <w:p w:rsidR="002425E2" w:rsidRPr="00663610" w:rsidRDefault="002425E2" w:rsidP="008A6B21">
            <w:pPr>
              <w:pStyle w:val="BodyText"/>
              <w:tabs>
                <w:tab w:val="clear" w:pos="1080"/>
              </w:tabs>
              <w:spacing w:line="233" w:lineRule="auto"/>
              <w:jc w:val="center"/>
              <w:rPr>
                <w:bCs/>
                <w:iCs/>
                <w:szCs w:val="22"/>
                <w:lang w:eastAsia="zh-CN"/>
              </w:rPr>
            </w:pPr>
            <w:r>
              <w:rPr>
                <w:bCs/>
                <w:iCs/>
                <w:szCs w:val="22"/>
                <w:lang w:eastAsia="zh-CN"/>
              </w:rPr>
              <w:t>18</w:t>
            </w:r>
            <w:r w:rsidR="00546150">
              <w:rPr>
                <w:bCs/>
                <w:iCs/>
                <w:szCs w:val="22"/>
                <w:lang w:eastAsia="zh-CN"/>
              </w:rPr>
              <w:t>6</w:t>
            </w:r>
          </w:p>
        </w:tc>
        <w:tc>
          <w:tcPr>
            <w:tcW w:w="1440" w:type="dxa"/>
          </w:tcPr>
          <w:p w:rsidR="00DC3467" w:rsidRDefault="00DC3467" w:rsidP="00F82BA0">
            <w:pPr>
              <w:pStyle w:val="BodyText"/>
              <w:tabs>
                <w:tab w:val="clear" w:pos="1080"/>
              </w:tabs>
              <w:spacing w:line="233" w:lineRule="auto"/>
              <w:jc w:val="center"/>
              <w:rPr>
                <w:bCs/>
                <w:szCs w:val="22"/>
                <w:lang w:eastAsia="zh-CN"/>
              </w:rPr>
            </w:pPr>
          </w:p>
          <w:p w:rsidR="004567BB" w:rsidRDefault="00DC3467" w:rsidP="00F82BA0">
            <w:pPr>
              <w:pStyle w:val="BodyText"/>
              <w:tabs>
                <w:tab w:val="clear" w:pos="1080"/>
              </w:tabs>
              <w:spacing w:line="233" w:lineRule="auto"/>
              <w:jc w:val="center"/>
              <w:rPr>
                <w:bCs/>
                <w:szCs w:val="22"/>
                <w:lang w:eastAsia="zh-CN"/>
              </w:rPr>
            </w:pPr>
            <w:r>
              <w:rPr>
                <w:bCs/>
                <w:szCs w:val="22"/>
                <w:lang w:eastAsia="zh-CN"/>
              </w:rPr>
              <w:t>198</w:t>
            </w:r>
          </w:p>
          <w:p w:rsidR="002425E2" w:rsidRPr="00663610" w:rsidRDefault="002425E2" w:rsidP="00F82BA0">
            <w:pPr>
              <w:pStyle w:val="BodyText"/>
              <w:tabs>
                <w:tab w:val="clear" w:pos="1080"/>
              </w:tabs>
              <w:spacing w:line="233" w:lineRule="auto"/>
              <w:jc w:val="center"/>
              <w:rPr>
                <w:bCs/>
                <w:szCs w:val="22"/>
                <w:lang w:eastAsia="zh-CN"/>
              </w:rPr>
            </w:pPr>
          </w:p>
        </w:tc>
        <w:tc>
          <w:tcPr>
            <w:tcW w:w="1530" w:type="dxa"/>
          </w:tcPr>
          <w:p w:rsidR="004567BB" w:rsidRDefault="004567BB" w:rsidP="00F969C3">
            <w:pPr>
              <w:pStyle w:val="BodyText"/>
              <w:tabs>
                <w:tab w:val="clear" w:pos="1080"/>
              </w:tabs>
              <w:spacing w:line="233" w:lineRule="auto"/>
              <w:jc w:val="center"/>
              <w:rPr>
                <w:bCs/>
                <w:iCs/>
                <w:szCs w:val="22"/>
                <w:lang w:eastAsia="zh-CN"/>
              </w:rPr>
            </w:pPr>
          </w:p>
          <w:p w:rsidR="002425E2" w:rsidRPr="00663610" w:rsidRDefault="00546150" w:rsidP="00F969C3">
            <w:pPr>
              <w:pStyle w:val="BodyText"/>
              <w:tabs>
                <w:tab w:val="clear" w:pos="1080"/>
              </w:tabs>
              <w:spacing w:line="233" w:lineRule="auto"/>
              <w:jc w:val="center"/>
              <w:rPr>
                <w:bCs/>
                <w:iCs/>
                <w:szCs w:val="22"/>
                <w:lang w:eastAsia="zh-CN"/>
              </w:rPr>
            </w:pPr>
            <w:r>
              <w:rPr>
                <w:bCs/>
                <w:iCs/>
                <w:szCs w:val="22"/>
                <w:lang w:eastAsia="zh-CN"/>
              </w:rPr>
              <w:t>186</w:t>
            </w:r>
          </w:p>
        </w:tc>
      </w:tr>
      <w:tr w:rsidR="004567BB" w:rsidRPr="00663610" w:rsidTr="00F06AC2">
        <w:tc>
          <w:tcPr>
            <w:tcW w:w="3798" w:type="dxa"/>
          </w:tcPr>
          <w:p w:rsidR="004567BB" w:rsidRPr="00663610" w:rsidRDefault="004567BB" w:rsidP="008B4D86">
            <w:pPr>
              <w:pStyle w:val="BodyText"/>
              <w:tabs>
                <w:tab w:val="clear" w:pos="1080"/>
              </w:tabs>
              <w:spacing w:line="233" w:lineRule="auto"/>
              <w:rPr>
                <w:iCs/>
                <w:szCs w:val="22"/>
                <w:lang w:eastAsia="zh-CN"/>
              </w:rPr>
            </w:pPr>
            <w:r w:rsidRPr="00663610">
              <w:rPr>
                <w:rFonts w:hint="eastAsia"/>
                <w:iCs/>
                <w:szCs w:val="22"/>
                <w:lang w:eastAsia="zh-CN"/>
              </w:rPr>
              <w:t xml:space="preserve">Net foreign </w:t>
            </w:r>
            <w:r w:rsidRPr="00663610">
              <w:rPr>
                <w:iCs/>
                <w:szCs w:val="22"/>
                <w:lang w:eastAsia="zh-CN"/>
              </w:rPr>
              <w:t xml:space="preserve">exchange </w:t>
            </w:r>
            <w:r w:rsidRPr="00663610">
              <w:rPr>
                <w:rFonts w:hint="eastAsia"/>
                <w:iCs/>
                <w:szCs w:val="22"/>
                <w:lang w:eastAsia="zh-CN"/>
              </w:rPr>
              <w:t>loss/(gain)</w:t>
            </w:r>
          </w:p>
          <w:p w:rsidR="004567BB" w:rsidRPr="00663610" w:rsidRDefault="004567BB" w:rsidP="008B4D86">
            <w:pPr>
              <w:pStyle w:val="BodyText"/>
              <w:tabs>
                <w:tab w:val="clear" w:pos="1080"/>
              </w:tabs>
              <w:spacing w:line="233" w:lineRule="auto"/>
              <w:rPr>
                <w:iCs/>
                <w:szCs w:val="22"/>
                <w:lang w:eastAsia="zh-CN"/>
              </w:rPr>
            </w:pPr>
          </w:p>
        </w:tc>
        <w:tc>
          <w:tcPr>
            <w:tcW w:w="1530" w:type="dxa"/>
          </w:tcPr>
          <w:p w:rsidR="004567BB" w:rsidRPr="00663610" w:rsidRDefault="00DC3467" w:rsidP="00146E68">
            <w:pPr>
              <w:pStyle w:val="BodyText"/>
              <w:tabs>
                <w:tab w:val="clear" w:pos="1080"/>
              </w:tabs>
              <w:spacing w:line="233" w:lineRule="auto"/>
              <w:jc w:val="center"/>
              <w:rPr>
                <w:bCs/>
                <w:szCs w:val="22"/>
                <w:lang w:eastAsia="zh-CN"/>
              </w:rPr>
            </w:pPr>
            <w:r>
              <w:rPr>
                <w:bCs/>
                <w:szCs w:val="22"/>
                <w:lang w:eastAsia="zh-CN"/>
              </w:rPr>
              <w:t>17</w:t>
            </w:r>
          </w:p>
        </w:tc>
        <w:tc>
          <w:tcPr>
            <w:tcW w:w="1350" w:type="dxa"/>
          </w:tcPr>
          <w:p w:rsidR="004567BB" w:rsidRPr="00663610" w:rsidRDefault="00546150" w:rsidP="008A6B21">
            <w:pPr>
              <w:pStyle w:val="BodyText"/>
              <w:tabs>
                <w:tab w:val="clear" w:pos="1080"/>
              </w:tabs>
              <w:spacing w:line="233" w:lineRule="auto"/>
              <w:jc w:val="center"/>
              <w:rPr>
                <w:bCs/>
                <w:iCs/>
                <w:szCs w:val="22"/>
                <w:lang w:eastAsia="zh-CN"/>
              </w:rPr>
            </w:pPr>
            <w:r>
              <w:rPr>
                <w:bCs/>
                <w:iCs/>
                <w:szCs w:val="22"/>
                <w:lang w:eastAsia="zh-CN"/>
              </w:rPr>
              <w:t>(181)</w:t>
            </w:r>
          </w:p>
        </w:tc>
        <w:tc>
          <w:tcPr>
            <w:tcW w:w="1440" w:type="dxa"/>
          </w:tcPr>
          <w:p w:rsidR="004567BB" w:rsidRPr="00663610" w:rsidRDefault="00DC3467" w:rsidP="002425E2">
            <w:pPr>
              <w:pStyle w:val="BodyText"/>
              <w:tabs>
                <w:tab w:val="clear" w:pos="1080"/>
              </w:tabs>
              <w:spacing w:line="233" w:lineRule="auto"/>
              <w:jc w:val="center"/>
              <w:rPr>
                <w:bCs/>
                <w:szCs w:val="22"/>
                <w:lang w:eastAsia="zh-CN"/>
              </w:rPr>
            </w:pPr>
            <w:r>
              <w:rPr>
                <w:bCs/>
                <w:szCs w:val="22"/>
                <w:lang w:eastAsia="zh-CN"/>
              </w:rPr>
              <w:t>17</w:t>
            </w:r>
          </w:p>
        </w:tc>
        <w:tc>
          <w:tcPr>
            <w:tcW w:w="1530" w:type="dxa"/>
          </w:tcPr>
          <w:p w:rsidR="004567BB" w:rsidRPr="00663610" w:rsidRDefault="00546150" w:rsidP="00F82BA0">
            <w:pPr>
              <w:pStyle w:val="BodyText"/>
              <w:tabs>
                <w:tab w:val="clear" w:pos="1080"/>
              </w:tabs>
              <w:spacing w:line="233" w:lineRule="auto"/>
              <w:jc w:val="center"/>
              <w:rPr>
                <w:bCs/>
                <w:iCs/>
                <w:szCs w:val="22"/>
                <w:lang w:eastAsia="zh-CN"/>
              </w:rPr>
            </w:pPr>
            <w:r>
              <w:rPr>
                <w:bCs/>
                <w:iCs/>
                <w:szCs w:val="22"/>
                <w:lang w:eastAsia="zh-CN"/>
              </w:rPr>
              <w:t>(181)</w:t>
            </w:r>
          </w:p>
        </w:tc>
      </w:tr>
      <w:tr w:rsidR="004567BB" w:rsidRPr="00663610" w:rsidTr="00F06AC2">
        <w:tc>
          <w:tcPr>
            <w:tcW w:w="3798" w:type="dxa"/>
          </w:tcPr>
          <w:p w:rsidR="004567BB" w:rsidRPr="00663610" w:rsidRDefault="004E7462" w:rsidP="008B4D86">
            <w:pPr>
              <w:pStyle w:val="BodyText"/>
              <w:tabs>
                <w:tab w:val="clear" w:pos="1080"/>
              </w:tabs>
              <w:spacing w:line="233" w:lineRule="auto"/>
              <w:ind w:left="180" w:hanging="180"/>
              <w:rPr>
                <w:iCs/>
                <w:szCs w:val="22"/>
                <w:lang w:eastAsia="zh-CN"/>
              </w:rPr>
            </w:pPr>
            <w:r>
              <w:rPr>
                <w:rFonts w:hint="eastAsia"/>
                <w:iCs/>
                <w:szCs w:val="22"/>
                <w:lang w:eastAsia="zh-CN"/>
              </w:rPr>
              <w:t>Loss/(</w:t>
            </w:r>
            <w:r w:rsidR="004567BB" w:rsidRPr="00663610">
              <w:rPr>
                <w:rFonts w:hint="eastAsia"/>
                <w:iCs/>
                <w:szCs w:val="22"/>
                <w:lang w:eastAsia="zh-CN"/>
              </w:rPr>
              <w:t>Gain</w:t>
            </w:r>
            <w:r>
              <w:rPr>
                <w:rFonts w:hint="eastAsia"/>
                <w:iCs/>
                <w:szCs w:val="22"/>
                <w:lang w:eastAsia="zh-CN"/>
              </w:rPr>
              <w:t>)</w:t>
            </w:r>
            <w:r w:rsidR="004567BB" w:rsidRPr="00663610">
              <w:rPr>
                <w:rFonts w:hint="eastAsia"/>
                <w:iCs/>
                <w:szCs w:val="22"/>
                <w:lang w:eastAsia="zh-CN"/>
              </w:rPr>
              <w:t xml:space="preserve"> on disposal of property, plant </w:t>
            </w:r>
            <w:r w:rsidR="004567BB" w:rsidRPr="00663610">
              <w:rPr>
                <w:iCs/>
                <w:szCs w:val="22"/>
                <w:lang w:eastAsia="zh-CN"/>
              </w:rPr>
              <w:t>and</w:t>
            </w:r>
            <w:r w:rsidR="004567BB" w:rsidRPr="00663610">
              <w:rPr>
                <w:rFonts w:hint="eastAsia"/>
                <w:iCs/>
                <w:szCs w:val="22"/>
                <w:lang w:eastAsia="zh-CN"/>
              </w:rPr>
              <w:t xml:space="preserve"> equipment</w:t>
            </w:r>
          </w:p>
          <w:p w:rsidR="004567BB" w:rsidRPr="00663610" w:rsidRDefault="004567BB" w:rsidP="008B4D86">
            <w:pPr>
              <w:pStyle w:val="BodyText"/>
              <w:tabs>
                <w:tab w:val="clear" w:pos="1080"/>
              </w:tabs>
              <w:spacing w:line="233" w:lineRule="auto"/>
              <w:ind w:left="180" w:hanging="180"/>
              <w:rPr>
                <w:iCs/>
                <w:szCs w:val="22"/>
                <w:lang w:eastAsia="zh-CN"/>
              </w:rPr>
            </w:pPr>
          </w:p>
        </w:tc>
        <w:tc>
          <w:tcPr>
            <w:tcW w:w="1530" w:type="dxa"/>
          </w:tcPr>
          <w:p w:rsidR="004567BB" w:rsidRDefault="004567BB" w:rsidP="00FD0FB5">
            <w:pPr>
              <w:pStyle w:val="BodyText"/>
              <w:tabs>
                <w:tab w:val="clear" w:pos="1080"/>
              </w:tabs>
              <w:spacing w:line="233" w:lineRule="auto"/>
              <w:jc w:val="center"/>
              <w:rPr>
                <w:bCs/>
                <w:szCs w:val="22"/>
                <w:lang w:eastAsia="zh-CN"/>
              </w:rPr>
            </w:pPr>
          </w:p>
          <w:p w:rsidR="00DC3467" w:rsidRPr="00663610" w:rsidRDefault="004E7462" w:rsidP="00FD0FB5">
            <w:pPr>
              <w:pStyle w:val="BodyText"/>
              <w:tabs>
                <w:tab w:val="clear" w:pos="1080"/>
              </w:tabs>
              <w:spacing w:line="233" w:lineRule="auto"/>
              <w:jc w:val="center"/>
              <w:rPr>
                <w:bCs/>
                <w:szCs w:val="22"/>
                <w:lang w:eastAsia="zh-CN"/>
              </w:rPr>
            </w:pPr>
            <w:r>
              <w:rPr>
                <w:rFonts w:hint="eastAsia"/>
                <w:bCs/>
                <w:szCs w:val="22"/>
                <w:lang w:eastAsia="zh-CN"/>
              </w:rPr>
              <w:t>29</w:t>
            </w:r>
          </w:p>
        </w:tc>
        <w:tc>
          <w:tcPr>
            <w:tcW w:w="1350" w:type="dxa"/>
          </w:tcPr>
          <w:p w:rsidR="004567BB" w:rsidRPr="00663610" w:rsidRDefault="004567BB" w:rsidP="008A6B21">
            <w:pPr>
              <w:pStyle w:val="BodyText"/>
              <w:tabs>
                <w:tab w:val="clear" w:pos="1080"/>
              </w:tabs>
              <w:spacing w:line="233" w:lineRule="auto"/>
              <w:jc w:val="center"/>
              <w:rPr>
                <w:bCs/>
                <w:iCs/>
                <w:szCs w:val="22"/>
                <w:lang w:eastAsia="zh-CN"/>
              </w:rPr>
            </w:pPr>
          </w:p>
          <w:p w:rsidR="004567BB" w:rsidRPr="00663610" w:rsidRDefault="00546150" w:rsidP="00546150">
            <w:pPr>
              <w:pStyle w:val="BodyText"/>
              <w:tabs>
                <w:tab w:val="clear" w:pos="1080"/>
              </w:tabs>
              <w:spacing w:line="233" w:lineRule="auto"/>
              <w:jc w:val="center"/>
              <w:rPr>
                <w:bCs/>
                <w:iCs/>
                <w:szCs w:val="22"/>
                <w:lang w:eastAsia="zh-CN"/>
              </w:rPr>
            </w:pPr>
            <w:r>
              <w:rPr>
                <w:bCs/>
                <w:iCs/>
                <w:szCs w:val="22"/>
                <w:lang w:eastAsia="zh-CN"/>
              </w:rPr>
              <w:t>(31)</w:t>
            </w:r>
          </w:p>
        </w:tc>
        <w:tc>
          <w:tcPr>
            <w:tcW w:w="1440" w:type="dxa"/>
          </w:tcPr>
          <w:p w:rsidR="004567BB" w:rsidRDefault="004567BB" w:rsidP="00F969C3">
            <w:pPr>
              <w:pStyle w:val="BodyText"/>
              <w:tabs>
                <w:tab w:val="clear" w:pos="1080"/>
              </w:tabs>
              <w:spacing w:line="233" w:lineRule="auto"/>
              <w:jc w:val="center"/>
              <w:rPr>
                <w:bCs/>
                <w:szCs w:val="22"/>
                <w:lang w:eastAsia="zh-CN"/>
              </w:rPr>
            </w:pPr>
          </w:p>
          <w:p w:rsidR="00DC3467" w:rsidRPr="00663610" w:rsidRDefault="004E7462" w:rsidP="00F969C3">
            <w:pPr>
              <w:pStyle w:val="BodyText"/>
              <w:tabs>
                <w:tab w:val="clear" w:pos="1080"/>
              </w:tabs>
              <w:spacing w:line="233" w:lineRule="auto"/>
              <w:jc w:val="center"/>
              <w:rPr>
                <w:bCs/>
                <w:szCs w:val="22"/>
                <w:lang w:eastAsia="zh-CN"/>
              </w:rPr>
            </w:pPr>
            <w:r>
              <w:rPr>
                <w:rFonts w:hint="eastAsia"/>
                <w:bCs/>
                <w:szCs w:val="22"/>
                <w:lang w:eastAsia="zh-CN"/>
              </w:rPr>
              <w:t>29</w:t>
            </w:r>
          </w:p>
        </w:tc>
        <w:tc>
          <w:tcPr>
            <w:tcW w:w="1530" w:type="dxa"/>
          </w:tcPr>
          <w:p w:rsidR="00546150" w:rsidRDefault="00546150" w:rsidP="00F82BA0">
            <w:pPr>
              <w:pStyle w:val="BodyText"/>
              <w:tabs>
                <w:tab w:val="clear" w:pos="1080"/>
              </w:tabs>
              <w:spacing w:line="233" w:lineRule="auto"/>
              <w:jc w:val="center"/>
              <w:rPr>
                <w:bCs/>
                <w:iCs/>
                <w:szCs w:val="22"/>
                <w:lang w:eastAsia="zh-CN"/>
              </w:rPr>
            </w:pPr>
          </w:p>
          <w:p w:rsidR="004567BB" w:rsidRPr="00663610" w:rsidRDefault="00546150" w:rsidP="00F82BA0">
            <w:pPr>
              <w:pStyle w:val="BodyText"/>
              <w:tabs>
                <w:tab w:val="clear" w:pos="1080"/>
              </w:tabs>
              <w:spacing w:line="233" w:lineRule="auto"/>
              <w:jc w:val="center"/>
              <w:rPr>
                <w:bCs/>
                <w:iCs/>
                <w:szCs w:val="22"/>
                <w:lang w:eastAsia="zh-CN"/>
              </w:rPr>
            </w:pPr>
            <w:r>
              <w:rPr>
                <w:bCs/>
                <w:iCs/>
                <w:szCs w:val="22"/>
                <w:lang w:eastAsia="zh-CN"/>
              </w:rPr>
              <w:t>(31)</w:t>
            </w:r>
          </w:p>
        </w:tc>
      </w:tr>
      <w:tr w:rsidR="004567BB" w:rsidRPr="00663610" w:rsidTr="00F06AC2">
        <w:tc>
          <w:tcPr>
            <w:tcW w:w="3798" w:type="dxa"/>
          </w:tcPr>
          <w:p w:rsidR="004567BB" w:rsidRPr="00663610" w:rsidRDefault="004567BB" w:rsidP="00C15F13">
            <w:pPr>
              <w:pStyle w:val="BodyText"/>
              <w:tabs>
                <w:tab w:val="clear" w:pos="1080"/>
              </w:tabs>
              <w:spacing w:line="233" w:lineRule="auto"/>
              <w:rPr>
                <w:iCs/>
                <w:szCs w:val="22"/>
                <w:lang w:eastAsia="zh-CN"/>
              </w:rPr>
            </w:pPr>
            <w:r w:rsidRPr="00663610">
              <w:rPr>
                <w:rFonts w:hint="eastAsia"/>
                <w:iCs/>
                <w:szCs w:val="22"/>
                <w:lang w:eastAsia="zh-CN"/>
              </w:rPr>
              <w:t>Interest income</w:t>
            </w:r>
          </w:p>
          <w:p w:rsidR="004567BB" w:rsidRPr="00663610" w:rsidRDefault="004567BB" w:rsidP="00C15F13">
            <w:pPr>
              <w:pStyle w:val="BodyText"/>
              <w:tabs>
                <w:tab w:val="clear" w:pos="1080"/>
              </w:tabs>
              <w:spacing w:line="233" w:lineRule="auto"/>
              <w:rPr>
                <w:iCs/>
                <w:szCs w:val="22"/>
                <w:lang w:eastAsia="zh-CN"/>
              </w:rPr>
            </w:pPr>
          </w:p>
        </w:tc>
        <w:tc>
          <w:tcPr>
            <w:tcW w:w="1530" w:type="dxa"/>
          </w:tcPr>
          <w:p w:rsidR="004567BB" w:rsidRPr="00663610" w:rsidRDefault="00DC3467" w:rsidP="00146E68">
            <w:pPr>
              <w:pStyle w:val="BodyText"/>
              <w:tabs>
                <w:tab w:val="clear" w:pos="1080"/>
              </w:tabs>
              <w:spacing w:line="233" w:lineRule="auto"/>
              <w:jc w:val="center"/>
              <w:rPr>
                <w:bCs/>
                <w:szCs w:val="22"/>
                <w:lang w:eastAsia="zh-CN"/>
              </w:rPr>
            </w:pPr>
            <w:r>
              <w:rPr>
                <w:bCs/>
                <w:szCs w:val="22"/>
                <w:lang w:eastAsia="zh-CN"/>
              </w:rPr>
              <w:t>(51)</w:t>
            </w:r>
          </w:p>
        </w:tc>
        <w:tc>
          <w:tcPr>
            <w:tcW w:w="1350" w:type="dxa"/>
          </w:tcPr>
          <w:p w:rsidR="004567BB" w:rsidRPr="00663610" w:rsidRDefault="00546150" w:rsidP="002425E2">
            <w:pPr>
              <w:pStyle w:val="BodyText"/>
              <w:tabs>
                <w:tab w:val="clear" w:pos="1080"/>
              </w:tabs>
              <w:spacing w:line="233" w:lineRule="auto"/>
              <w:jc w:val="center"/>
              <w:rPr>
                <w:bCs/>
                <w:iCs/>
                <w:szCs w:val="22"/>
                <w:lang w:eastAsia="zh-CN"/>
              </w:rPr>
            </w:pPr>
            <w:r>
              <w:rPr>
                <w:bCs/>
                <w:iCs/>
                <w:szCs w:val="22"/>
                <w:lang w:eastAsia="zh-CN"/>
              </w:rPr>
              <w:t>(63)</w:t>
            </w:r>
          </w:p>
        </w:tc>
        <w:tc>
          <w:tcPr>
            <w:tcW w:w="1440" w:type="dxa"/>
          </w:tcPr>
          <w:p w:rsidR="004567BB" w:rsidRPr="00663610" w:rsidRDefault="00DC3467" w:rsidP="002425E2">
            <w:pPr>
              <w:pStyle w:val="BodyText"/>
              <w:tabs>
                <w:tab w:val="clear" w:pos="1080"/>
              </w:tabs>
              <w:spacing w:line="233" w:lineRule="auto"/>
              <w:jc w:val="center"/>
              <w:rPr>
                <w:bCs/>
                <w:szCs w:val="22"/>
                <w:lang w:eastAsia="zh-CN"/>
              </w:rPr>
            </w:pPr>
            <w:r>
              <w:rPr>
                <w:bCs/>
                <w:szCs w:val="22"/>
                <w:lang w:eastAsia="zh-CN"/>
              </w:rPr>
              <w:t>(51)</w:t>
            </w:r>
          </w:p>
        </w:tc>
        <w:tc>
          <w:tcPr>
            <w:tcW w:w="1530" w:type="dxa"/>
          </w:tcPr>
          <w:p w:rsidR="004567BB" w:rsidRDefault="00546150" w:rsidP="002425E2">
            <w:pPr>
              <w:pStyle w:val="BodyText"/>
              <w:tabs>
                <w:tab w:val="clear" w:pos="1080"/>
              </w:tabs>
              <w:spacing w:line="233" w:lineRule="auto"/>
              <w:jc w:val="center"/>
              <w:rPr>
                <w:bCs/>
                <w:iCs/>
                <w:szCs w:val="22"/>
                <w:lang w:eastAsia="zh-CN"/>
              </w:rPr>
            </w:pPr>
            <w:r>
              <w:rPr>
                <w:bCs/>
                <w:iCs/>
                <w:szCs w:val="22"/>
                <w:lang w:eastAsia="zh-CN"/>
              </w:rPr>
              <w:t>(63)</w:t>
            </w:r>
          </w:p>
          <w:p w:rsidR="00546150" w:rsidRPr="00663610" w:rsidRDefault="00546150" w:rsidP="002425E2">
            <w:pPr>
              <w:pStyle w:val="BodyText"/>
              <w:tabs>
                <w:tab w:val="clear" w:pos="1080"/>
              </w:tabs>
              <w:spacing w:line="233" w:lineRule="auto"/>
              <w:jc w:val="center"/>
              <w:rPr>
                <w:bCs/>
                <w:iCs/>
                <w:szCs w:val="22"/>
                <w:lang w:eastAsia="zh-CN"/>
              </w:rPr>
            </w:pPr>
          </w:p>
        </w:tc>
      </w:tr>
      <w:tr w:rsidR="004567BB" w:rsidRPr="00663610" w:rsidTr="00F06AC2">
        <w:tc>
          <w:tcPr>
            <w:tcW w:w="3798" w:type="dxa"/>
          </w:tcPr>
          <w:p w:rsidR="004567BB" w:rsidRPr="00663610" w:rsidRDefault="004567BB" w:rsidP="00C15F13">
            <w:pPr>
              <w:pStyle w:val="BodyText"/>
              <w:tabs>
                <w:tab w:val="clear" w:pos="1080"/>
              </w:tabs>
              <w:spacing w:line="233" w:lineRule="auto"/>
              <w:rPr>
                <w:iCs/>
                <w:szCs w:val="22"/>
                <w:lang w:eastAsia="zh-CN"/>
              </w:rPr>
            </w:pPr>
            <w:r w:rsidRPr="00663610">
              <w:rPr>
                <w:rFonts w:hint="eastAsia"/>
                <w:iCs/>
                <w:szCs w:val="22"/>
                <w:lang w:eastAsia="zh-CN"/>
              </w:rPr>
              <w:t>Other income</w:t>
            </w:r>
          </w:p>
          <w:p w:rsidR="004567BB" w:rsidRPr="00663610" w:rsidRDefault="004567BB" w:rsidP="00C15F13">
            <w:pPr>
              <w:pStyle w:val="BodyText"/>
              <w:tabs>
                <w:tab w:val="clear" w:pos="1080"/>
              </w:tabs>
              <w:spacing w:line="233" w:lineRule="auto"/>
              <w:rPr>
                <w:iCs/>
                <w:szCs w:val="22"/>
                <w:lang w:eastAsia="zh-CN"/>
              </w:rPr>
            </w:pPr>
          </w:p>
        </w:tc>
        <w:tc>
          <w:tcPr>
            <w:tcW w:w="1530" w:type="dxa"/>
          </w:tcPr>
          <w:p w:rsidR="004567BB" w:rsidRPr="00663610" w:rsidRDefault="00DC3467" w:rsidP="004E7462">
            <w:pPr>
              <w:pStyle w:val="BodyText"/>
              <w:tabs>
                <w:tab w:val="clear" w:pos="1080"/>
              </w:tabs>
              <w:spacing w:line="233" w:lineRule="auto"/>
              <w:jc w:val="center"/>
              <w:rPr>
                <w:bCs/>
                <w:szCs w:val="22"/>
                <w:lang w:eastAsia="zh-CN"/>
              </w:rPr>
            </w:pPr>
            <w:r>
              <w:rPr>
                <w:bCs/>
                <w:szCs w:val="22"/>
                <w:lang w:eastAsia="zh-CN"/>
              </w:rPr>
              <w:t>(49)</w:t>
            </w:r>
          </w:p>
        </w:tc>
        <w:tc>
          <w:tcPr>
            <w:tcW w:w="1350" w:type="dxa"/>
          </w:tcPr>
          <w:p w:rsidR="004567BB" w:rsidRPr="00663610" w:rsidRDefault="00546150" w:rsidP="002425E2">
            <w:pPr>
              <w:pStyle w:val="BodyText"/>
              <w:tabs>
                <w:tab w:val="clear" w:pos="1080"/>
              </w:tabs>
              <w:spacing w:line="233" w:lineRule="auto"/>
              <w:jc w:val="center"/>
              <w:rPr>
                <w:bCs/>
                <w:iCs/>
                <w:szCs w:val="22"/>
                <w:lang w:eastAsia="zh-CN"/>
              </w:rPr>
            </w:pPr>
            <w:r>
              <w:rPr>
                <w:bCs/>
                <w:iCs/>
                <w:szCs w:val="22"/>
                <w:lang w:eastAsia="zh-CN"/>
              </w:rPr>
              <w:t>(21)</w:t>
            </w:r>
          </w:p>
        </w:tc>
        <w:tc>
          <w:tcPr>
            <w:tcW w:w="1440" w:type="dxa"/>
          </w:tcPr>
          <w:p w:rsidR="004567BB" w:rsidRPr="00663610" w:rsidRDefault="004E7462" w:rsidP="00F17B53">
            <w:pPr>
              <w:pStyle w:val="BodyText"/>
              <w:tabs>
                <w:tab w:val="clear" w:pos="1080"/>
              </w:tabs>
              <w:spacing w:line="233" w:lineRule="auto"/>
              <w:jc w:val="center"/>
              <w:rPr>
                <w:bCs/>
                <w:szCs w:val="22"/>
                <w:lang w:eastAsia="zh-CN"/>
              </w:rPr>
            </w:pPr>
            <w:r>
              <w:rPr>
                <w:bCs/>
                <w:szCs w:val="22"/>
                <w:lang w:eastAsia="zh-CN"/>
              </w:rPr>
              <w:t>(</w:t>
            </w:r>
            <w:r w:rsidR="00DC3467">
              <w:rPr>
                <w:bCs/>
                <w:szCs w:val="22"/>
                <w:lang w:eastAsia="zh-CN"/>
              </w:rPr>
              <w:t>49)</w:t>
            </w:r>
          </w:p>
        </w:tc>
        <w:tc>
          <w:tcPr>
            <w:tcW w:w="1530" w:type="dxa"/>
          </w:tcPr>
          <w:p w:rsidR="004567BB" w:rsidRPr="00663610" w:rsidRDefault="00546150" w:rsidP="00050702">
            <w:pPr>
              <w:pStyle w:val="BodyText"/>
              <w:tabs>
                <w:tab w:val="clear" w:pos="1080"/>
              </w:tabs>
              <w:spacing w:line="233" w:lineRule="auto"/>
              <w:jc w:val="center"/>
              <w:rPr>
                <w:bCs/>
                <w:iCs/>
                <w:szCs w:val="22"/>
                <w:lang w:eastAsia="zh-CN"/>
              </w:rPr>
            </w:pPr>
            <w:r>
              <w:rPr>
                <w:bCs/>
                <w:iCs/>
                <w:szCs w:val="22"/>
                <w:lang w:eastAsia="zh-CN"/>
              </w:rPr>
              <w:t>(21)</w:t>
            </w:r>
          </w:p>
        </w:tc>
      </w:tr>
      <w:tr w:rsidR="004567BB" w:rsidRPr="00663610" w:rsidTr="00F06AC2">
        <w:tc>
          <w:tcPr>
            <w:tcW w:w="3798" w:type="dxa"/>
          </w:tcPr>
          <w:p w:rsidR="004567BB" w:rsidRPr="00663610" w:rsidRDefault="004567BB" w:rsidP="00B01B7E">
            <w:pPr>
              <w:pStyle w:val="BodyText"/>
              <w:tabs>
                <w:tab w:val="clear" w:pos="1080"/>
              </w:tabs>
              <w:spacing w:line="233" w:lineRule="auto"/>
              <w:rPr>
                <w:iCs/>
                <w:szCs w:val="22"/>
                <w:lang w:eastAsia="zh-CN"/>
              </w:rPr>
            </w:pPr>
            <w:r w:rsidRPr="00663610">
              <w:rPr>
                <w:rFonts w:hint="eastAsia"/>
                <w:iCs/>
                <w:szCs w:val="22"/>
                <w:lang w:eastAsia="zh-CN"/>
              </w:rPr>
              <w:t>Interest expenses</w:t>
            </w:r>
          </w:p>
          <w:p w:rsidR="004567BB" w:rsidRPr="00663610" w:rsidRDefault="004567BB" w:rsidP="00B01B7E">
            <w:pPr>
              <w:pStyle w:val="BodyText"/>
              <w:tabs>
                <w:tab w:val="clear" w:pos="1080"/>
              </w:tabs>
              <w:spacing w:line="233" w:lineRule="auto"/>
              <w:rPr>
                <w:iCs/>
                <w:szCs w:val="22"/>
                <w:lang w:eastAsia="zh-CN"/>
              </w:rPr>
            </w:pPr>
          </w:p>
        </w:tc>
        <w:tc>
          <w:tcPr>
            <w:tcW w:w="1530" w:type="dxa"/>
          </w:tcPr>
          <w:p w:rsidR="004567BB" w:rsidRPr="00663610" w:rsidRDefault="00DC3467" w:rsidP="008A6B21">
            <w:pPr>
              <w:pStyle w:val="BodyText"/>
              <w:tabs>
                <w:tab w:val="clear" w:pos="1080"/>
              </w:tabs>
              <w:spacing w:line="233" w:lineRule="auto"/>
              <w:jc w:val="center"/>
              <w:rPr>
                <w:bCs/>
                <w:szCs w:val="22"/>
                <w:lang w:eastAsia="zh-CN"/>
              </w:rPr>
            </w:pPr>
            <w:r>
              <w:rPr>
                <w:bCs/>
                <w:szCs w:val="22"/>
                <w:lang w:eastAsia="zh-CN"/>
              </w:rPr>
              <w:t>8</w:t>
            </w:r>
          </w:p>
        </w:tc>
        <w:tc>
          <w:tcPr>
            <w:tcW w:w="1350" w:type="dxa"/>
          </w:tcPr>
          <w:p w:rsidR="004567BB" w:rsidRPr="00663610" w:rsidRDefault="00546150" w:rsidP="00FD0FB5">
            <w:pPr>
              <w:pStyle w:val="BodyText"/>
              <w:tabs>
                <w:tab w:val="clear" w:pos="1080"/>
              </w:tabs>
              <w:spacing w:line="233" w:lineRule="auto"/>
              <w:jc w:val="center"/>
              <w:rPr>
                <w:bCs/>
                <w:iCs/>
                <w:szCs w:val="22"/>
                <w:lang w:eastAsia="zh-CN"/>
              </w:rPr>
            </w:pPr>
            <w:r>
              <w:rPr>
                <w:bCs/>
                <w:iCs/>
                <w:szCs w:val="22"/>
                <w:lang w:eastAsia="zh-CN"/>
              </w:rPr>
              <w:t>24</w:t>
            </w:r>
          </w:p>
        </w:tc>
        <w:tc>
          <w:tcPr>
            <w:tcW w:w="1440" w:type="dxa"/>
          </w:tcPr>
          <w:p w:rsidR="004567BB" w:rsidRPr="00663610" w:rsidRDefault="00DC3467" w:rsidP="00F82BA0">
            <w:pPr>
              <w:pStyle w:val="BodyText"/>
              <w:tabs>
                <w:tab w:val="clear" w:pos="1080"/>
              </w:tabs>
              <w:spacing w:line="233" w:lineRule="auto"/>
              <w:jc w:val="center"/>
              <w:rPr>
                <w:bCs/>
                <w:szCs w:val="22"/>
                <w:lang w:eastAsia="zh-CN"/>
              </w:rPr>
            </w:pPr>
            <w:r>
              <w:rPr>
                <w:bCs/>
                <w:szCs w:val="22"/>
                <w:lang w:eastAsia="zh-CN"/>
              </w:rPr>
              <w:t>8</w:t>
            </w:r>
          </w:p>
        </w:tc>
        <w:tc>
          <w:tcPr>
            <w:tcW w:w="1530" w:type="dxa"/>
          </w:tcPr>
          <w:p w:rsidR="004567BB" w:rsidRPr="00663610" w:rsidRDefault="00546150" w:rsidP="00F82BA0">
            <w:pPr>
              <w:pStyle w:val="BodyText"/>
              <w:tabs>
                <w:tab w:val="clear" w:pos="1080"/>
              </w:tabs>
              <w:spacing w:line="233" w:lineRule="auto"/>
              <w:jc w:val="center"/>
              <w:rPr>
                <w:bCs/>
                <w:iCs/>
                <w:szCs w:val="22"/>
                <w:lang w:eastAsia="zh-CN"/>
              </w:rPr>
            </w:pPr>
            <w:r>
              <w:rPr>
                <w:bCs/>
                <w:iCs/>
                <w:szCs w:val="22"/>
                <w:lang w:eastAsia="zh-CN"/>
              </w:rPr>
              <w:t>24</w:t>
            </w:r>
          </w:p>
        </w:tc>
      </w:tr>
      <w:tr w:rsidR="006034A9" w:rsidRPr="00663610" w:rsidTr="00F06AC2">
        <w:tc>
          <w:tcPr>
            <w:tcW w:w="3798" w:type="dxa"/>
          </w:tcPr>
          <w:p w:rsidR="006034A9" w:rsidRPr="00663610" w:rsidRDefault="006034A9" w:rsidP="00C32FCD">
            <w:pPr>
              <w:pStyle w:val="BodyText"/>
              <w:tabs>
                <w:tab w:val="clear" w:pos="1080"/>
              </w:tabs>
              <w:spacing w:line="233" w:lineRule="auto"/>
              <w:ind w:left="180" w:hanging="180"/>
              <w:rPr>
                <w:iCs/>
                <w:szCs w:val="22"/>
                <w:lang w:eastAsia="zh-CN"/>
              </w:rPr>
            </w:pPr>
            <w:r>
              <w:rPr>
                <w:rFonts w:hint="eastAsia"/>
                <w:iCs/>
                <w:szCs w:val="22"/>
                <w:lang w:eastAsia="zh-CN"/>
              </w:rPr>
              <w:t xml:space="preserve">Gain on disposal of </w:t>
            </w:r>
            <w:r w:rsidR="00C32491">
              <w:rPr>
                <w:iCs/>
                <w:szCs w:val="22"/>
                <w:lang w:eastAsia="zh-CN"/>
              </w:rPr>
              <w:t xml:space="preserve">an </w:t>
            </w:r>
            <w:r>
              <w:rPr>
                <w:rFonts w:hint="eastAsia"/>
                <w:iCs/>
                <w:szCs w:val="22"/>
                <w:lang w:eastAsia="zh-CN"/>
              </w:rPr>
              <w:t>associate</w:t>
            </w:r>
            <w:r w:rsidR="00C32FCD">
              <w:rPr>
                <w:iCs/>
                <w:szCs w:val="22"/>
                <w:lang w:eastAsia="zh-CN"/>
              </w:rPr>
              <w:t>d company</w:t>
            </w:r>
          </w:p>
        </w:tc>
        <w:tc>
          <w:tcPr>
            <w:tcW w:w="1530" w:type="dxa"/>
          </w:tcPr>
          <w:p w:rsidR="006034A9" w:rsidRDefault="006034A9" w:rsidP="008A6B21">
            <w:pPr>
              <w:pStyle w:val="BodyText"/>
              <w:tabs>
                <w:tab w:val="clear" w:pos="1080"/>
              </w:tabs>
              <w:spacing w:line="233" w:lineRule="auto"/>
              <w:jc w:val="center"/>
              <w:rPr>
                <w:bCs/>
                <w:szCs w:val="22"/>
                <w:lang w:eastAsia="zh-CN"/>
              </w:rPr>
            </w:pPr>
            <w:r>
              <w:rPr>
                <w:rFonts w:hint="eastAsia"/>
                <w:bCs/>
                <w:szCs w:val="22"/>
                <w:lang w:eastAsia="zh-CN"/>
              </w:rPr>
              <w:t>(300)</w:t>
            </w:r>
          </w:p>
        </w:tc>
        <w:tc>
          <w:tcPr>
            <w:tcW w:w="1350" w:type="dxa"/>
          </w:tcPr>
          <w:p w:rsidR="006034A9" w:rsidRDefault="006034A9" w:rsidP="00FD0FB5">
            <w:pPr>
              <w:pStyle w:val="BodyText"/>
              <w:tabs>
                <w:tab w:val="clear" w:pos="1080"/>
              </w:tabs>
              <w:spacing w:line="233" w:lineRule="auto"/>
              <w:jc w:val="center"/>
              <w:rPr>
                <w:bCs/>
                <w:iCs/>
                <w:szCs w:val="22"/>
                <w:lang w:eastAsia="zh-CN"/>
              </w:rPr>
            </w:pPr>
            <w:r>
              <w:rPr>
                <w:rFonts w:hint="eastAsia"/>
                <w:bCs/>
                <w:iCs/>
                <w:szCs w:val="22"/>
                <w:lang w:eastAsia="zh-CN"/>
              </w:rPr>
              <w:t>-</w:t>
            </w:r>
          </w:p>
        </w:tc>
        <w:tc>
          <w:tcPr>
            <w:tcW w:w="1440" w:type="dxa"/>
          </w:tcPr>
          <w:p w:rsidR="006034A9" w:rsidRDefault="006034A9" w:rsidP="00F82BA0">
            <w:pPr>
              <w:pStyle w:val="BodyText"/>
              <w:tabs>
                <w:tab w:val="clear" w:pos="1080"/>
              </w:tabs>
              <w:spacing w:line="233" w:lineRule="auto"/>
              <w:jc w:val="center"/>
              <w:rPr>
                <w:bCs/>
                <w:szCs w:val="22"/>
                <w:lang w:eastAsia="zh-CN"/>
              </w:rPr>
            </w:pPr>
            <w:r>
              <w:rPr>
                <w:rFonts w:hint="eastAsia"/>
                <w:bCs/>
                <w:szCs w:val="22"/>
                <w:lang w:eastAsia="zh-CN"/>
              </w:rPr>
              <w:t>(300)</w:t>
            </w:r>
          </w:p>
        </w:tc>
        <w:tc>
          <w:tcPr>
            <w:tcW w:w="1530" w:type="dxa"/>
          </w:tcPr>
          <w:p w:rsidR="006034A9" w:rsidRDefault="006034A9" w:rsidP="00F82BA0">
            <w:pPr>
              <w:pStyle w:val="BodyText"/>
              <w:tabs>
                <w:tab w:val="clear" w:pos="1080"/>
              </w:tabs>
              <w:spacing w:line="233" w:lineRule="auto"/>
              <w:jc w:val="center"/>
              <w:rPr>
                <w:bCs/>
                <w:iCs/>
                <w:szCs w:val="22"/>
                <w:lang w:eastAsia="zh-CN"/>
              </w:rPr>
            </w:pPr>
            <w:r>
              <w:rPr>
                <w:rFonts w:hint="eastAsia"/>
                <w:bCs/>
                <w:iCs/>
                <w:szCs w:val="22"/>
                <w:lang w:eastAsia="zh-CN"/>
              </w:rPr>
              <w:t>-</w:t>
            </w:r>
          </w:p>
        </w:tc>
      </w:tr>
    </w:tbl>
    <w:p w:rsidR="00B01B7E" w:rsidRPr="00663610" w:rsidRDefault="00B01B7E" w:rsidP="00454B1A">
      <w:pPr>
        <w:ind w:left="700"/>
        <w:jc w:val="both"/>
        <w:rPr>
          <w:szCs w:val="22"/>
          <w:lang w:eastAsia="zh-CN"/>
        </w:rPr>
      </w:pPr>
    </w:p>
    <w:p w:rsidR="0098646B" w:rsidRPr="00663610" w:rsidRDefault="00750F9B" w:rsidP="00065EB0">
      <w:pPr>
        <w:ind w:left="720"/>
        <w:jc w:val="both"/>
        <w:rPr>
          <w:szCs w:val="22"/>
          <w:lang w:eastAsia="zh-CN"/>
        </w:rPr>
      </w:pPr>
      <w:r w:rsidRPr="00663610">
        <w:rPr>
          <w:rFonts w:hint="eastAsia"/>
          <w:szCs w:val="22"/>
          <w:lang w:eastAsia="zh-CN"/>
        </w:rPr>
        <w:t xml:space="preserve">Save as disclosed above, the other items required under </w:t>
      </w:r>
      <w:r w:rsidR="00C52906" w:rsidRPr="00663610">
        <w:rPr>
          <w:szCs w:val="22"/>
          <w:lang w:eastAsia="zh-CN"/>
        </w:rPr>
        <w:t xml:space="preserve">Section 16, </w:t>
      </w:r>
      <w:r w:rsidRPr="00663610">
        <w:rPr>
          <w:rFonts w:hint="eastAsia"/>
          <w:szCs w:val="22"/>
          <w:lang w:eastAsia="zh-CN"/>
        </w:rPr>
        <w:t>Appendix 9B of the</w:t>
      </w:r>
      <w:r w:rsidR="00C52906" w:rsidRPr="00663610">
        <w:rPr>
          <w:szCs w:val="22"/>
          <w:lang w:eastAsia="zh-CN"/>
        </w:rPr>
        <w:t xml:space="preserve"> ACE Market </w:t>
      </w:r>
      <w:r w:rsidRPr="00663610">
        <w:rPr>
          <w:rFonts w:hint="eastAsia"/>
          <w:szCs w:val="22"/>
          <w:lang w:eastAsia="zh-CN"/>
        </w:rPr>
        <w:t xml:space="preserve">Listing Requirement </w:t>
      </w:r>
      <w:r w:rsidR="00C52906" w:rsidRPr="00663610">
        <w:rPr>
          <w:szCs w:val="22"/>
          <w:lang w:eastAsia="zh-CN"/>
        </w:rPr>
        <w:t xml:space="preserve">of Bursa Securities </w:t>
      </w:r>
      <w:r w:rsidRPr="00663610">
        <w:rPr>
          <w:rFonts w:hint="eastAsia"/>
          <w:szCs w:val="22"/>
          <w:lang w:eastAsia="zh-CN"/>
        </w:rPr>
        <w:t>are not applicable.</w:t>
      </w:r>
      <w:r w:rsidR="0098646B" w:rsidRPr="00663610">
        <w:rPr>
          <w:szCs w:val="22"/>
          <w:lang w:eastAsia="zh-CN"/>
        </w:rPr>
        <w:t xml:space="preserve"> </w:t>
      </w:r>
    </w:p>
    <w:p w:rsidR="007B1D3B" w:rsidRPr="00663610" w:rsidRDefault="007B1D3B" w:rsidP="00454B1A">
      <w:pPr>
        <w:ind w:left="700"/>
        <w:jc w:val="both"/>
        <w:rPr>
          <w:szCs w:val="22"/>
          <w:lang w:eastAsia="zh-CN"/>
        </w:rPr>
      </w:pPr>
    </w:p>
    <w:p w:rsidR="00541004" w:rsidRPr="00663610" w:rsidRDefault="00A154BF" w:rsidP="006353D4">
      <w:pPr>
        <w:jc w:val="both"/>
        <w:rPr>
          <w:b/>
          <w:bCs/>
          <w:szCs w:val="22"/>
        </w:rPr>
      </w:pPr>
      <w:r w:rsidRPr="00663610">
        <w:rPr>
          <w:b/>
          <w:bCs/>
          <w:szCs w:val="22"/>
        </w:rPr>
        <w:t>2</w:t>
      </w:r>
      <w:r w:rsidR="00E53573" w:rsidRPr="00663610">
        <w:rPr>
          <w:b/>
          <w:bCs/>
          <w:szCs w:val="22"/>
          <w:lang w:eastAsia="zh-CN"/>
        </w:rPr>
        <w:t>6</w:t>
      </w:r>
      <w:r w:rsidR="00541004" w:rsidRPr="00663610">
        <w:rPr>
          <w:b/>
          <w:bCs/>
          <w:szCs w:val="22"/>
        </w:rPr>
        <w:t>.</w:t>
      </w:r>
      <w:r w:rsidR="00541004" w:rsidRPr="00663610">
        <w:rPr>
          <w:b/>
          <w:bCs/>
          <w:szCs w:val="22"/>
        </w:rPr>
        <w:tab/>
        <w:t>Earnings Per Share (“EPS”)</w:t>
      </w:r>
    </w:p>
    <w:p w:rsidR="00541004" w:rsidRPr="00663610" w:rsidRDefault="00541004" w:rsidP="009004A3">
      <w:pPr>
        <w:spacing w:line="233" w:lineRule="auto"/>
        <w:rPr>
          <w:szCs w:val="22"/>
        </w:rPr>
      </w:pPr>
    </w:p>
    <w:p w:rsidR="00541004" w:rsidRPr="00663610" w:rsidRDefault="00541004" w:rsidP="00C552A3">
      <w:pPr>
        <w:spacing w:line="233" w:lineRule="auto"/>
        <w:rPr>
          <w:b/>
          <w:bCs/>
          <w:szCs w:val="22"/>
        </w:rPr>
      </w:pPr>
      <w:r w:rsidRPr="00663610">
        <w:rPr>
          <w:szCs w:val="22"/>
        </w:rPr>
        <w:tab/>
      </w:r>
      <w:r w:rsidRPr="00663610">
        <w:rPr>
          <w:b/>
          <w:bCs/>
          <w:szCs w:val="22"/>
        </w:rPr>
        <w:t>Basic</w:t>
      </w:r>
    </w:p>
    <w:p w:rsidR="00541004" w:rsidRPr="00663610" w:rsidRDefault="00541004" w:rsidP="009004A3">
      <w:pPr>
        <w:spacing w:line="233" w:lineRule="auto"/>
        <w:rPr>
          <w:szCs w:val="22"/>
        </w:rPr>
      </w:pPr>
    </w:p>
    <w:p w:rsidR="004F347C" w:rsidRPr="00663610" w:rsidRDefault="005E7422" w:rsidP="004F347C">
      <w:pPr>
        <w:pStyle w:val="BodyText"/>
        <w:tabs>
          <w:tab w:val="clear" w:pos="1080"/>
        </w:tabs>
        <w:spacing w:line="232" w:lineRule="auto"/>
        <w:ind w:left="720"/>
        <w:rPr>
          <w:i/>
          <w:iCs/>
          <w:szCs w:val="22"/>
        </w:rPr>
      </w:pPr>
      <w:r w:rsidRPr="001A0E58">
        <w:rPr>
          <w:szCs w:val="22"/>
        </w:rPr>
        <w:t>The calculation of the basic EPS is based on the net profit for the current financial quarter and the three (3) months financial period, divided by the weighted average number of ordinary shares of RM0.10 each in issue during the current financial quarter and the three (3) months financial period</w:t>
      </w:r>
      <w:r w:rsidR="003557EC" w:rsidRPr="00663610">
        <w:rPr>
          <w:szCs w:val="22"/>
        </w:rPr>
        <w:t>.</w:t>
      </w:r>
    </w:p>
    <w:p w:rsidR="004F347C" w:rsidRPr="00663610" w:rsidRDefault="004F347C" w:rsidP="004F347C">
      <w:pPr>
        <w:pStyle w:val="BodyText"/>
        <w:tabs>
          <w:tab w:val="clear" w:pos="1080"/>
        </w:tabs>
        <w:spacing w:line="232" w:lineRule="auto"/>
        <w:rPr>
          <w:i/>
          <w:iCs/>
          <w:szCs w:val="22"/>
        </w:rPr>
      </w:pPr>
    </w:p>
    <w:tbl>
      <w:tblPr>
        <w:tblW w:w="0" w:type="auto"/>
        <w:tblInd w:w="720" w:type="dxa"/>
        <w:tblLayout w:type="fixed"/>
        <w:tblLook w:val="0000" w:firstRow="0" w:lastRow="0" w:firstColumn="0" w:lastColumn="0" w:noHBand="0" w:noVBand="0"/>
      </w:tblPr>
      <w:tblGrid>
        <w:gridCol w:w="2988"/>
        <w:gridCol w:w="270"/>
        <w:gridCol w:w="1350"/>
        <w:gridCol w:w="1620"/>
        <w:gridCol w:w="270"/>
        <w:gridCol w:w="1397"/>
        <w:gridCol w:w="1663"/>
      </w:tblGrid>
      <w:tr w:rsidR="00BF6FE5" w:rsidRPr="00663610">
        <w:tc>
          <w:tcPr>
            <w:tcW w:w="2988" w:type="dxa"/>
            <w:tcBorders>
              <w:top w:val="single" w:sz="4" w:space="0" w:color="auto"/>
              <w:left w:val="single" w:sz="4" w:space="0" w:color="auto"/>
            </w:tcBorders>
          </w:tcPr>
          <w:p w:rsidR="00BF6FE5" w:rsidRPr="00663610" w:rsidRDefault="00BF6FE5" w:rsidP="009004A3">
            <w:pPr>
              <w:pStyle w:val="BodyText"/>
              <w:tabs>
                <w:tab w:val="clear" w:pos="1080"/>
              </w:tabs>
              <w:spacing w:line="233" w:lineRule="auto"/>
              <w:rPr>
                <w:i/>
                <w:iCs/>
                <w:szCs w:val="22"/>
              </w:rPr>
            </w:pPr>
          </w:p>
        </w:tc>
        <w:tc>
          <w:tcPr>
            <w:tcW w:w="270" w:type="dxa"/>
            <w:tcBorders>
              <w:top w:val="single" w:sz="4" w:space="0" w:color="auto"/>
              <w:right w:val="single" w:sz="4" w:space="0" w:color="auto"/>
            </w:tcBorders>
          </w:tcPr>
          <w:p w:rsidR="00BF6FE5" w:rsidRPr="00663610" w:rsidRDefault="00BF6FE5" w:rsidP="009004A3">
            <w:pPr>
              <w:pStyle w:val="BodyText"/>
              <w:tabs>
                <w:tab w:val="clear" w:pos="1080"/>
              </w:tabs>
              <w:spacing w:line="233" w:lineRule="auto"/>
              <w:rPr>
                <w:i/>
                <w:iCs/>
                <w:szCs w:val="22"/>
              </w:rPr>
            </w:pPr>
          </w:p>
        </w:tc>
        <w:tc>
          <w:tcPr>
            <w:tcW w:w="2970" w:type="dxa"/>
            <w:gridSpan w:val="2"/>
            <w:tcBorders>
              <w:top w:val="single" w:sz="4" w:space="0" w:color="auto"/>
              <w:left w:val="single" w:sz="4" w:space="0" w:color="auto"/>
              <w:bottom w:val="single" w:sz="4" w:space="0" w:color="auto"/>
              <w:right w:val="single" w:sz="4" w:space="0" w:color="auto"/>
            </w:tcBorders>
          </w:tcPr>
          <w:p w:rsidR="00BF6FE5" w:rsidRPr="00663610" w:rsidRDefault="0015293D" w:rsidP="00663458">
            <w:pPr>
              <w:pStyle w:val="BodyText"/>
              <w:tabs>
                <w:tab w:val="clear" w:pos="1080"/>
              </w:tabs>
              <w:spacing w:line="233" w:lineRule="auto"/>
              <w:jc w:val="center"/>
              <w:rPr>
                <w:b/>
                <w:bCs/>
                <w:iCs/>
                <w:szCs w:val="22"/>
              </w:rPr>
            </w:pPr>
            <w:r>
              <w:rPr>
                <w:b/>
                <w:bCs/>
                <w:szCs w:val="22"/>
                <w:lang w:eastAsia="zh-CN"/>
              </w:rPr>
              <w:t>1st</w:t>
            </w:r>
            <w:r w:rsidR="00BF6FE5" w:rsidRPr="00663610">
              <w:rPr>
                <w:b/>
                <w:bCs/>
                <w:szCs w:val="22"/>
                <w:lang w:eastAsia="zh-CN"/>
              </w:rPr>
              <w:t xml:space="preserve"> </w:t>
            </w:r>
            <w:r w:rsidR="00BF6FE5" w:rsidRPr="00663610">
              <w:rPr>
                <w:b/>
                <w:bCs/>
                <w:szCs w:val="22"/>
              </w:rPr>
              <w:t>Quarter Ended</w:t>
            </w:r>
          </w:p>
        </w:tc>
        <w:tc>
          <w:tcPr>
            <w:tcW w:w="270" w:type="dxa"/>
            <w:tcBorders>
              <w:top w:val="single" w:sz="4" w:space="0" w:color="auto"/>
              <w:left w:val="single" w:sz="4" w:space="0" w:color="auto"/>
              <w:bottom w:val="single" w:sz="4" w:space="0" w:color="auto"/>
            </w:tcBorders>
          </w:tcPr>
          <w:p w:rsidR="00BF6FE5" w:rsidRPr="00663610" w:rsidRDefault="00BF6FE5" w:rsidP="00663458">
            <w:pPr>
              <w:pStyle w:val="BodyText"/>
              <w:tabs>
                <w:tab w:val="clear" w:pos="1080"/>
              </w:tabs>
              <w:spacing w:line="233" w:lineRule="auto"/>
              <w:jc w:val="center"/>
              <w:rPr>
                <w:b/>
                <w:bCs/>
                <w:szCs w:val="22"/>
              </w:rPr>
            </w:pPr>
          </w:p>
        </w:tc>
        <w:tc>
          <w:tcPr>
            <w:tcW w:w="3060" w:type="dxa"/>
            <w:gridSpan w:val="2"/>
            <w:tcBorders>
              <w:top w:val="single" w:sz="4" w:space="0" w:color="auto"/>
              <w:bottom w:val="single" w:sz="4" w:space="0" w:color="auto"/>
              <w:right w:val="single" w:sz="4" w:space="0" w:color="auto"/>
            </w:tcBorders>
          </w:tcPr>
          <w:p w:rsidR="00BF6FE5" w:rsidRPr="00663610" w:rsidRDefault="0015293D" w:rsidP="00663458">
            <w:pPr>
              <w:pStyle w:val="BodyText"/>
              <w:tabs>
                <w:tab w:val="clear" w:pos="1080"/>
              </w:tabs>
              <w:spacing w:line="233" w:lineRule="auto"/>
              <w:jc w:val="center"/>
              <w:rPr>
                <w:b/>
                <w:bCs/>
                <w:iCs/>
                <w:szCs w:val="22"/>
              </w:rPr>
            </w:pPr>
            <w:r>
              <w:rPr>
                <w:b/>
                <w:bCs/>
                <w:szCs w:val="22"/>
                <w:lang w:eastAsia="zh-CN"/>
              </w:rPr>
              <w:t>3</w:t>
            </w:r>
            <w:r w:rsidR="00BF6FE5" w:rsidRPr="00663610">
              <w:rPr>
                <w:b/>
                <w:bCs/>
                <w:szCs w:val="22"/>
                <w:lang w:eastAsia="zh-CN"/>
              </w:rPr>
              <w:t xml:space="preserve"> Months</w:t>
            </w:r>
            <w:r w:rsidR="00BF6FE5" w:rsidRPr="00663610">
              <w:rPr>
                <w:b/>
                <w:bCs/>
                <w:szCs w:val="22"/>
              </w:rPr>
              <w:t xml:space="preserve"> Ended</w:t>
            </w:r>
          </w:p>
        </w:tc>
      </w:tr>
      <w:tr w:rsidR="00F969C3" w:rsidRPr="00663610">
        <w:tc>
          <w:tcPr>
            <w:tcW w:w="2988" w:type="dxa"/>
            <w:tcBorders>
              <w:left w:val="single" w:sz="4" w:space="0" w:color="auto"/>
            </w:tcBorders>
          </w:tcPr>
          <w:p w:rsidR="00F969C3" w:rsidRPr="00663610" w:rsidRDefault="00F969C3" w:rsidP="009004A3">
            <w:pPr>
              <w:pStyle w:val="BodyText"/>
              <w:tabs>
                <w:tab w:val="clear" w:pos="1080"/>
              </w:tabs>
              <w:spacing w:line="233" w:lineRule="auto"/>
              <w:rPr>
                <w:i/>
                <w:iCs/>
                <w:szCs w:val="22"/>
              </w:rPr>
            </w:pPr>
          </w:p>
        </w:tc>
        <w:tc>
          <w:tcPr>
            <w:tcW w:w="270" w:type="dxa"/>
            <w:tcBorders>
              <w:right w:val="single" w:sz="4" w:space="0" w:color="auto"/>
            </w:tcBorders>
          </w:tcPr>
          <w:p w:rsidR="00F969C3" w:rsidRPr="00663610" w:rsidRDefault="00F969C3" w:rsidP="009004A3">
            <w:pPr>
              <w:pStyle w:val="BodyText"/>
              <w:tabs>
                <w:tab w:val="clear" w:pos="1080"/>
              </w:tabs>
              <w:spacing w:line="233" w:lineRule="auto"/>
              <w:rPr>
                <w:i/>
                <w:iCs/>
                <w:szCs w:val="22"/>
              </w:rPr>
            </w:pPr>
          </w:p>
        </w:tc>
        <w:tc>
          <w:tcPr>
            <w:tcW w:w="1350" w:type="dxa"/>
            <w:tcBorders>
              <w:top w:val="single" w:sz="4" w:space="0" w:color="auto"/>
              <w:left w:val="single" w:sz="4" w:space="0" w:color="auto"/>
              <w:right w:val="single" w:sz="4" w:space="0" w:color="auto"/>
            </w:tcBorders>
          </w:tcPr>
          <w:p w:rsidR="00F969C3" w:rsidRPr="00663610" w:rsidRDefault="0015293D" w:rsidP="00B35C19">
            <w:pPr>
              <w:pStyle w:val="BodyText"/>
              <w:tabs>
                <w:tab w:val="clear" w:pos="1080"/>
              </w:tabs>
              <w:spacing w:line="233" w:lineRule="auto"/>
              <w:jc w:val="center"/>
              <w:rPr>
                <w:b/>
                <w:bCs/>
                <w:szCs w:val="22"/>
                <w:lang w:eastAsia="zh-CN"/>
              </w:rPr>
            </w:pPr>
            <w:r>
              <w:rPr>
                <w:b/>
                <w:bCs/>
                <w:szCs w:val="22"/>
              </w:rPr>
              <w:t>31.03.2013</w:t>
            </w:r>
          </w:p>
        </w:tc>
        <w:tc>
          <w:tcPr>
            <w:tcW w:w="1620" w:type="dxa"/>
            <w:tcBorders>
              <w:top w:val="single" w:sz="4" w:space="0" w:color="auto"/>
              <w:left w:val="single" w:sz="4" w:space="0" w:color="auto"/>
              <w:right w:val="single" w:sz="4" w:space="0" w:color="auto"/>
            </w:tcBorders>
          </w:tcPr>
          <w:p w:rsidR="00F969C3" w:rsidRPr="00663610" w:rsidRDefault="0015293D" w:rsidP="00A4603D">
            <w:pPr>
              <w:pStyle w:val="BodyText"/>
              <w:tabs>
                <w:tab w:val="clear" w:pos="1080"/>
              </w:tabs>
              <w:spacing w:line="233" w:lineRule="auto"/>
              <w:jc w:val="center"/>
              <w:rPr>
                <w:b/>
                <w:bCs/>
                <w:iCs/>
                <w:szCs w:val="22"/>
                <w:lang w:eastAsia="zh-CN"/>
              </w:rPr>
            </w:pPr>
            <w:r>
              <w:rPr>
                <w:b/>
                <w:bCs/>
                <w:iCs/>
                <w:szCs w:val="22"/>
                <w:lang w:eastAsia="zh-CN"/>
              </w:rPr>
              <w:t>31.03.2012</w:t>
            </w:r>
          </w:p>
        </w:tc>
        <w:tc>
          <w:tcPr>
            <w:tcW w:w="270" w:type="dxa"/>
            <w:tcBorders>
              <w:top w:val="single" w:sz="4" w:space="0" w:color="auto"/>
              <w:left w:val="single" w:sz="4" w:space="0" w:color="auto"/>
            </w:tcBorders>
          </w:tcPr>
          <w:p w:rsidR="00F969C3" w:rsidRPr="00663610" w:rsidRDefault="00F969C3" w:rsidP="00663458">
            <w:pPr>
              <w:pStyle w:val="BodyText"/>
              <w:tabs>
                <w:tab w:val="clear" w:pos="1080"/>
              </w:tabs>
              <w:spacing w:line="233" w:lineRule="auto"/>
              <w:jc w:val="center"/>
              <w:rPr>
                <w:b/>
                <w:bCs/>
                <w:szCs w:val="22"/>
              </w:rPr>
            </w:pPr>
          </w:p>
        </w:tc>
        <w:tc>
          <w:tcPr>
            <w:tcW w:w="1397" w:type="dxa"/>
            <w:tcBorders>
              <w:top w:val="single" w:sz="4" w:space="0" w:color="auto"/>
              <w:right w:val="single" w:sz="4" w:space="0" w:color="auto"/>
            </w:tcBorders>
          </w:tcPr>
          <w:p w:rsidR="00F969C3" w:rsidRPr="00663610" w:rsidRDefault="0015293D" w:rsidP="00425D5E">
            <w:pPr>
              <w:pStyle w:val="BodyText"/>
              <w:tabs>
                <w:tab w:val="clear" w:pos="1080"/>
              </w:tabs>
              <w:spacing w:line="233" w:lineRule="auto"/>
              <w:jc w:val="center"/>
              <w:rPr>
                <w:b/>
                <w:bCs/>
                <w:szCs w:val="22"/>
                <w:lang w:eastAsia="zh-CN"/>
              </w:rPr>
            </w:pPr>
            <w:r>
              <w:rPr>
                <w:b/>
                <w:bCs/>
                <w:szCs w:val="22"/>
              </w:rPr>
              <w:t>31.03.2013</w:t>
            </w:r>
          </w:p>
        </w:tc>
        <w:tc>
          <w:tcPr>
            <w:tcW w:w="1663" w:type="dxa"/>
            <w:tcBorders>
              <w:top w:val="single" w:sz="4" w:space="0" w:color="auto"/>
              <w:left w:val="single" w:sz="4" w:space="0" w:color="auto"/>
              <w:right w:val="single" w:sz="4" w:space="0" w:color="auto"/>
            </w:tcBorders>
          </w:tcPr>
          <w:p w:rsidR="00F969C3" w:rsidRPr="00663610" w:rsidRDefault="0015293D" w:rsidP="009615E6">
            <w:pPr>
              <w:pStyle w:val="BodyText"/>
              <w:tabs>
                <w:tab w:val="clear" w:pos="1080"/>
              </w:tabs>
              <w:spacing w:line="233" w:lineRule="auto"/>
              <w:jc w:val="center"/>
              <w:rPr>
                <w:b/>
                <w:bCs/>
                <w:iCs/>
                <w:szCs w:val="22"/>
                <w:lang w:eastAsia="zh-CN"/>
              </w:rPr>
            </w:pPr>
            <w:r>
              <w:rPr>
                <w:b/>
                <w:bCs/>
                <w:iCs/>
                <w:szCs w:val="22"/>
                <w:lang w:eastAsia="zh-CN"/>
              </w:rPr>
              <w:t>31.03.2012</w:t>
            </w:r>
          </w:p>
        </w:tc>
      </w:tr>
      <w:tr w:rsidR="006B4997" w:rsidRPr="00663610">
        <w:tc>
          <w:tcPr>
            <w:tcW w:w="2988" w:type="dxa"/>
            <w:tcBorders>
              <w:top w:val="single" w:sz="4" w:space="0" w:color="auto"/>
              <w:left w:val="single" w:sz="4" w:space="0" w:color="auto"/>
            </w:tcBorders>
          </w:tcPr>
          <w:p w:rsidR="006B4997" w:rsidRPr="00663610" w:rsidRDefault="006B4997" w:rsidP="0007072D">
            <w:pPr>
              <w:pStyle w:val="BodyText"/>
              <w:tabs>
                <w:tab w:val="clear" w:pos="1080"/>
              </w:tabs>
              <w:spacing w:line="233" w:lineRule="auto"/>
              <w:rPr>
                <w:i/>
                <w:iCs/>
                <w:szCs w:val="22"/>
              </w:rPr>
            </w:pPr>
            <w:r w:rsidRPr="00663610">
              <w:rPr>
                <w:szCs w:val="22"/>
              </w:rPr>
              <w:t>Net profit for the period attributable to owners of the parent (RM’000)</w:t>
            </w:r>
          </w:p>
        </w:tc>
        <w:tc>
          <w:tcPr>
            <w:tcW w:w="270" w:type="dxa"/>
            <w:tcBorders>
              <w:top w:val="single" w:sz="4" w:space="0" w:color="auto"/>
              <w:right w:val="single" w:sz="4" w:space="0" w:color="auto"/>
            </w:tcBorders>
          </w:tcPr>
          <w:p w:rsidR="006B4997" w:rsidRPr="00663610" w:rsidRDefault="006B4997" w:rsidP="009004A3">
            <w:pPr>
              <w:pStyle w:val="BodyText"/>
              <w:tabs>
                <w:tab w:val="clear" w:pos="1080"/>
              </w:tabs>
              <w:spacing w:line="233" w:lineRule="auto"/>
              <w:rPr>
                <w:i/>
                <w:iCs/>
                <w:szCs w:val="22"/>
              </w:rPr>
            </w:pPr>
          </w:p>
        </w:tc>
        <w:tc>
          <w:tcPr>
            <w:tcW w:w="1350" w:type="dxa"/>
            <w:tcBorders>
              <w:top w:val="single" w:sz="4" w:space="0" w:color="auto"/>
              <w:left w:val="single" w:sz="4" w:space="0" w:color="auto"/>
              <w:right w:val="single" w:sz="4" w:space="0" w:color="auto"/>
            </w:tcBorders>
          </w:tcPr>
          <w:p w:rsidR="006B4997" w:rsidRPr="00663610" w:rsidRDefault="006B4997" w:rsidP="009004A3">
            <w:pPr>
              <w:pStyle w:val="BodyText"/>
              <w:tabs>
                <w:tab w:val="clear" w:pos="1080"/>
              </w:tabs>
              <w:spacing w:line="233" w:lineRule="auto"/>
              <w:jc w:val="right"/>
              <w:rPr>
                <w:szCs w:val="22"/>
                <w:lang w:eastAsia="zh-CN"/>
              </w:rPr>
            </w:pPr>
          </w:p>
          <w:p w:rsidR="006B4997" w:rsidRPr="00663610" w:rsidRDefault="006B4997" w:rsidP="009004A3">
            <w:pPr>
              <w:pStyle w:val="BodyText"/>
              <w:tabs>
                <w:tab w:val="clear" w:pos="1080"/>
              </w:tabs>
              <w:spacing w:line="233" w:lineRule="auto"/>
              <w:jc w:val="right"/>
              <w:rPr>
                <w:szCs w:val="22"/>
                <w:lang w:eastAsia="zh-CN"/>
              </w:rPr>
            </w:pPr>
          </w:p>
          <w:p w:rsidR="006B4997" w:rsidRPr="00663610" w:rsidRDefault="00DE3665" w:rsidP="00DE3665">
            <w:pPr>
              <w:pStyle w:val="BodyText"/>
              <w:tabs>
                <w:tab w:val="clear" w:pos="1080"/>
              </w:tabs>
              <w:spacing w:line="233" w:lineRule="auto"/>
              <w:jc w:val="right"/>
              <w:rPr>
                <w:szCs w:val="22"/>
                <w:lang w:eastAsia="zh-CN"/>
              </w:rPr>
            </w:pPr>
            <w:r>
              <w:rPr>
                <w:szCs w:val="22"/>
                <w:lang w:eastAsia="zh-CN"/>
              </w:rPr>
              <w:t>2,726</w:t>
            </w:r>
          </w:p>
        </w:tc>
        <w:tc>
          <w:tcPr>
            <w:tcW w:w="1620" w:type="dxa"/>
            <w:tcBorders>
              <w:top w:val="single" w:sz="4" w:space="0" w:color="auto"/>
              <w:left w:val="single" w:sz="4" w:space="0" w:color="auto"/>
              <w:right w:val="single" w:sz="4" w:space="0" w:color="auto"/>
            </w:tcBorders>
          </w:tcPr>
          <w:p w:rsidR="0015293D" w:rsidRDefault="0015293D" w:rsidP="00425D5E">
            <w:pPr>
              <w:pStyle w:val="BodyText"/>
              <w:tabs>
                <w:tab w:val="clear" w:pos="1080"/>
              </w:tabs>
              <w:spacing w:line="233" w:lineRule="auto"/>
              <w:jc w:val="right"/>
              <w:rPr>
                <w:szCs w:val="22"/>
                <w:lang w:eastAsia="zh-CN"/>
              </w:rPr>
            </w:pPr>
          </w:p>
          <w:p w:rsidR="0015293D" w:rsidRDefault="0015293D" w:rsidP="00425D5E">
            <w:pPr>
              <w:pStyle w:val="BodyText"/>
              <w:tabs>
                <w:tab w:val="clear" w:pos="1080"/>
              </w:tabs>
              <w:spacing w:line="233" w:lineRule="auto"/>
              <w:jc w:val="right"/>
              <w:rPr>
                <w:szCs w:val="22"/>
                <w:lang w:eastAsia="zh-CN"/>
              </w:rPr>
            </w:pPr>
          </w:p>
          <w:p w:rsidR="006B4997" w:rsidRPr="00663610" w:rsidRDefault="0015293D" w:rsidP="00425D5E">
            <w:pPr>
              <w:pStyle w:val="BodyText"/>
              <w:tabs>
                <w:tab w:val="clear" w:pos="1080"/>
              </w:tabs>
              <w:spacing w:line="233" w:lineRule="auto"/>
              <w:jc w:val="right"/>
              <w:rPr>
                <w:szCs w:val="22"/>
                <w:lang w:eastAsia="zh-CN"/>
              </w:rPr>
            </w:pPr>
            <w:r>
              <w:rPr>
                <w:szCs w:val="22"/>
                <w:lang w:eastAsia="zh-CN"/>
              </w:rPr>
              <w:t>1,526</w:t>
            </w:r>
          </w:p>
        </w:tc>
        <w:tc>
          <w:tcPr>
            <w:tcW w:w="270" w:type="dxa"/>
            <w:tcBorders>
              <w:top w:val="single" w:sz="4" w:space="0" w:color="auto"/>
              <w:left w:val="single" w:sz="4" w:space="0" w:color="auto"/>
            </w:tcBorders>
          </w:tcPr>
          <w:p w:rsidR="006B4997" w:rsidRPr="00663610" w:rsidRDefault="006B4997" w:rsidP="009004A3">
            <w:pPr>
              <w:pStyle w:val="BodyText"/>
              <w:tabs>
                <w:tab w:val="clear" w:pos="1080"/>
              </w:tabs>
              <w:spacing w:line="233" w:lineRule="auto"/>
              <w:jc w:val="right"/>
              <w:rPr>
                <w:szCs w:val="22"/>
              </w:rPr>
            </w:pPr>
          </w:p>
        </w:tc>
        <w:tc>
          <w:tcPr>
            <w:tcW w:w="1397" w:type="dxa"/>
            <w:tcBorders>
              <w:top w:val="single" w:sz="4" w:space="0" w:color="auto"/>
              <w:right w:val="single" w:sz="4" w:space="0" w:color="auto"/>
            </w:tcBorders>
          </w:tcPr>
          <w:p w:rsidR="006B4997" w:rsidRPr="00663610" w:rsidRDefault="006B4997" w:rsidP="00F82BA0">
            <w:pPr>
              <w:pStyle w:val="BodyText"/>
              <w:tabs>
                <w:tab w:val="clear" w:pos="1080"/>
              </w:tabs>
              <w:spacing w:line="233" w:lineRule="auto"/>
              <w:jc w:val="right"/>
              <w:rPr>
                <w:szCs w:val="22"/>
                <w:lang w:eastAsia="zh-CN"/>
              </w:rPr>
            </w:pPr>
          </w:p>
          <w:p w:rsidR="006B4997" w:rsidRPr="00663610" w:rsidRDefault="006B4997" w:rsidP="00F82BA0">
            <w:pPr>
              <w:pStyle w:val="BodyText"/>
              <w:tabs>
                <w:tab w:val="clear" w:pos="1080"/>
              </w:tabs>
              <w:spacing w:line="233" w:lineRule="auto"/>
              <w:jc w:val="right"/>
              <w:rPr>
                <w:szCs w:val="22"/>
                <w:lang w:eastAsia="zh-CN"/>
              </w:rPr>
            </w:pPr>
          </w:p>
          <w:p w:rsidR="006B4997" w:rsidRPr="00663610" w:rsidRDefault="00DE3665" w:rsidP="00F82BA0">
            <w:pPr>
              <w:pStyle w:val="BodyText"/>
              <w:tabs>
                <w:tab w:val="clear" w:pos="1080"/>
              </w:tabs>
              <w:spacing w:line="233" w:lineRule="auto"/>
              <w:jc w:val="right"/>
              <w:rPr>
                <w:szCs w:val="22"/>
                <w:lang w:eastAsia="zh-CN"/>
              </w:rPr>
            </w:pPr>
            <w:r>
              <w:rPr>
                <w:szCs w:val="22"/>
                <w:lang w:eastAsia="zh-CN"/>
              </w:rPr>
              <w:t>2,726</w:t>
            </w:r>
          </w:p>
        </w:tc>
        <w:tc>
          <w:tcPr>
            <w:tcW w:w="1663" w:type="dxa"/>
            <w:tcBorders>
              <w:top w:val="single" w:sz="4" w:space="0" w:color="auto"/>
              <w:left w:val="single" w:sz="4" w:space="0" w:color="auto"/>
              <w:right w:val="single" w:sz="4" w:space="0" w:color="auto"/>
            </w:tcBorders>
          </w:tcPr>
          <w:p w:rsidR="0015293D" w:rsidRDefault="0015293D" w:rsidP="00425D5E">
            <w:pPr>
              <w:pStyle w:val="BodyText"/>
              <w:tabs>
                <w:tab w:val="clear" w:pos="1080"/>
              </w:tabs>
              <w:spacing w:line="233" w:lineRule="auto"/>
              <w:jc w:val="right"/>
              <w:rPr>
                <w:szCs w:val="22"/>
                <w:lang w:eastAsia="zh-CN"/>
              </w:rPr>
            </w:pPr>
          </w:p>
          <w:p w:rsidR="0015293D" w:rsidRDefault="0015293D" w:rsidP="00425D5E">
            <w:pPr>
              <w:pStyle w:val="BodyText"/>
              <w:tabs>
                <w:tab w:val="clear" w:pos="1080"/>
              </w:tabs>
              <w:spacing w:line="233" w:lineRule="auto"/>
              <w:jc w:val="right"/>
              <w:rPr>
                <w:szCs w:val="22"/>
                <w:lang w:eastAsia="zh-CN"/>
              </w:rPr>
            </w:pPr>
          </w:p>
          <w:p w:rsidR="006B4997" w:rsidRPr="00663610" w:rsidRDefault="0015293D" w:rsidP="00425D5E">
            <w:pPr>
              <w:pStyle w:val="BodyText"/>
              <w:tabs>
                <w:tab w:val="clear" w:pos="1080"/>
              </w:tabs>
              <w:spacing w:line="233" w:lineRule="auto"/>
              <w:jc w:val="right"/>
              <w:rPr>
                <w:szCs w:val="22"/>
                <w:lang w:eastAsia="zh-CN"/>
              </w:rPr>
            </w:pPr>
            <w:r>
              <w:rPr>
                <w:szCs w:val="22"/>
                <w:lang w:eastAsia="zh-CN"/>
              </w:rPr>
              <w:t>1,526</w:t>
            </w:r>
          </w:p>
        </w:tc>
      </w:tr>
      <w:tr w:rsidR="006B4997" w:rsidRPr="00663610">
        <w:trPr>
          <w:trHeight w:val="189"/>
        </w:trPr>
        <w:tc>
          <w:tcPr>
            <w:tcW w:w="2988" w:type="dxa"/>
            <w:tcBorders>
              <w:left w:val="single" w:sz="4" w:space="0" w:color="auto"/>
              <w:bottom w:val="single" w:sz="4" w:space="0" w:color="auto"/>
            </w:tcBorders>
          </w:tcPr>
          <w:p w:rsidR="006B4997" w:rsidRPr="00663610" w:rsidRDefault="006B4997" w:rsidP="009004A3">
            <w:pPr>
              <w:pStyle w:val="BodyText"/>
              <w:tabs>
                <w:tab w:val="clear" w:pos="1080"/>
              </w:tabs>
              <w:spacing w:line="233" w:lineRule="auto"/>
              <w:rPr>
                <w:i/>
                <w:iCs/>
                <w:szCs w:val="22"/>
              </w:rPr>
            </w:pPr>
          </w:p>
        </w:tc>
        <w:tc>
          <w:tcPr>
            <w:tcW w:w="270" w:type="dxa"/>
            <w:tcBorders>
              <w:bottom w:val="single" w:sz="4" w:space="0" w:color="auto"/>
              <w:right w:val="single" w:sz="4" w:space="0" w:color="auto"/>
            </w:tcBorders>
          </w:tcPr>
          <w:p w:rsidR="006B4997" w:rsidRPr="00663610" w:rsidRDefault="006B4997" w:rsidP="009004A3">
            <w:pPr>
              <w:pStyle w:val="BodyText"/>
              <w:tabs>
                <w:tab w:val="clear" w:pos="1080"/>
              </w:tabs>
              <w:spacing w:line="233" w:lineRule="auto"/>
              <w:rPr>
                <w:i/>
                <w:iCs/>
                <w:szCs w:val="22"/>
              </w:rPr>
            </w:pPr>
          </w:p>
        </w:tc>
        <w:tc>
          <w:tcPr>
            <w:tcW w:w="1350" w:type="dxa"/>
            <w:tcBorders>
              <w:left w:val="single" w:sz="4" w:space="0" w:color="auto"/>
              <w:bottom w:val="single" w:sz="4" w:space="0" w:color="auto"/>
              <w:right w:val="single" w:sz="4" w:space="0" w:color="auto"/>
            </w:tcBorders>
          </w:tcPr>
          <w:p w:rsidR="006B4997" w:rsidRPr="00663610" w:rsidRDefault="006B4997" w:rsidP="009004A3">
            <w:pPr>
              <w:pStyle w:val="BodyText"/>
              <w:tabs>
                <w:tab w:val="clear" w:pos="1080"/>
              </w:tabs>
              <w:spacing w:line="233" w:lineRule="auto"/>
              <w:jc w:val="right"/>
              <w:rPr>
                <w:szCs w:val="22"/>
              </w:rPr>
            </w:pPr>
          </w:p>
        </w:tc>
        <w:tc>
          <w:tcPr>
            <w:tcW w:w="1620" w:type="dxa"/>
            <w:tcBorders>
              <w:left w:val="single" w:sz="4" w:space="0" w:color="auto"/>
              <w:bottom w:val="single" w:sz="4" w:space="0" w:color="auto"/>
              <w:right w:val="single" w:sz="4" w:space="0" w:color="auto"/>
            </w:tcBorders>
          </w:tcPr>
          <w:p w:rsidR="006B4997" w:rsidRPr="00663610" w:rsidRDefault="006B4997" w:rsidP="00F82BA0">
            <w:pPr>
              <w:pStyle w:val="BodyText"/>
              <w:tabs>
                <w:tab w:val="clear" w:pos="1080"/>
              </w:tabs>
              <w:spacing w:line="233" w:lineRule="auto"/>
              <w:jc w:val="right"/>
              <w:rPr>
                <w:sz w:val="16"/>
                <w:szCs w:val="16"/>
              </w:rPr>
            </w:pPr>
          </w:p>
        </w:tc>
        <w:tc>
          <w:tcPr>
            <w:tcW w:w="270" w:type="dxa"/>
            <w:tcBorders>
              <w:left w:val="single" w:sz="4" w:space="0" w:color="auto"/>
              <w:bottom w:val="single" w:sz="4" w:space="0" w:color="auto"/>
            </w:tcBorders>
          </w:tcPr>
          <w:p w:rsidR="006B4997" w:rsidRPr="00663610" w:rsidRDefault="006B4997" w:rsidP="009004A3">
            <w:pPr>
              <w:pStyle w:val="BodyText"/>
              <w:tabs>
                <w:tab w:val="clear" w:pos="1080"/>
              </w:tabs>
              <w:spacing w:line="233" w:lineRule="auto"/>
              <w:jc w:val="right"/>
              <w:rPr>
                <w:szCs w:val="22"/>
              </w:rPr>
            </w:pPr>
          </w:p>
        </w:tc>
        <w:tc>
          <w:tcPr>
            <w:tcW w:w="1397" w:type="dxa"/>
            <w:tcBorders>
              <w:bottom w:val="single" w:sz="4" w:space="0" w:color="auto"/>
              <w:right w:val="single" w:sz="4" w:space="0" w:color="auto"/>
            </w:tcBorders>
          </w:tcPr>
          <w:p w:rsidR="006B4997" w:rsidRPr="00663610" w:rsidRDefault="006B4997" w:rsidP="00F82BA0">
            <w:pPr>
              <w:pStyle w:val="BodyText"/>
              <w:tabs>
                <w:tab w:val="clear" w:pos="1080"/>
              </w:tabs>
              <w:spacing w:line="233" w:lineRule="auto"/>
              <w:jc w:val="right"/>
              <w:rPr>
                <w:szCs w:val="22"/>
              </w:rPr>
            </w:pPr>
          </w:p>
        </w:tc>
        <w:tc>
          <w:tcPr>
            <w:tcW w:w="1663" w:type="dxa"/>
            <w:tcBorders>
              <w:left w:val="single" w:sz="4" w:space="0" w:color="auto"/>
              <w:bottom w:val="single" w:sz="4" w:space="0" w:color="auto"/>
              <w:right w:val="single" w:sz="4" w:space="0" w:color="auto"/>
            </w:tcBorders>
          </w:tcPr>
          <w:p w:rsidR="006B4997" w:rsidRPr="00663610" w:rsidRDefault="006B4997" w:rsidP="00F82BA0">
            <w:pPr>
              <w:pStyle w:val="BodyText"/>
              <w:tabs>
                <w:tab w:val="clear" w:pos="1080"/>
              </w:tabs>
              <w:spacing w:line="233" w:lineRule="auto"/>
              <w:jc w:val="right"/>
              <w:rPr>
                <w:sz w:val="16"/>
                <w:szCs w:val="16"/>
              </w:rPr>
            </w:pPr>
          </w:p>
        </w:tc>
      </w:tr>
      <w:tr w:rsidR="006B4997" w:rsidRPr="00663610">
        <w:tc>
          <w:tcPr>
            <w:tcW w:w="2988" w:type="dxa"/>
            <w:tcBorders>
              <w:top w:val="single" w:sz="4" w:space="0" w:color="auto"/>
              <w:left w:val="single" w:sz="4" w:space="0" w:color="auto"/>
            </w:tcBorders>
          </w:tcPr>
          <w:p w:rsidR="006B4997" w:rsidRPr="00663610" w:rsidRDefault="006B4997" w:rsidP="009004A3">
            <w:pPr>
              <w:pStyle w:val="BodyText"/>
              <w:tabs>
                <w:tab w:val="clear" w:pos="1080"/>
              </w:tabs>
              <w:spacing w:line="233" w:lineRule="auto"/>
              <w:rPr>
                <w:i/>
                <w:iCs/>
                <w:szCs w:val="22"/>
              </w:rPr>
            </w:pPr>
            <w:r w:rsidRPr="00663610">
              <w:rPr>
                <w:szCs w:val="22"/>
              </w:rPr>
              <w:t>Weighted average number of ordinary shares in issue (’000)</w:t>
            </w:r>
          </w:p>
        </w:tc>
        <w:tc>
          <w:tcPr>
            <w:tcW w:w="270" w:type="dxa"/>
            <w:tcBorders>
              <w:top w:val="single" w:sz="4" w:space="0" w:color="auto"/>
              <w:right w:val="single" w:sz="4" w:space="0" w:color="auto"/>
            </w:tcBorders>
          </w:tcPr>
          <w:p w:rsidR="006B4997" w:rsidRPr="00663610" w:rsidRDefault="006B4997" w:rsidP="009004A3">
            <w:pPr>
              <w:pStyle w:val="BodyText"/>
              <w:tabs>
                <w:tab w:val="clear" w:pos="1080"/>
              </w:tabs>
              <w:spacing w:line="233" w:lineRule="auto"/>
              <w:rPr>
                <w:i/>
                <w:iCs/>
                <w:szCs w:val="22"/>
              </w:rPr>
            </w:pPr>
          </w:p>
        </w:tc>
        <w:tc>
          <w:tcPr>
            <w:tcW w:w="1350" w:type="dxa"/>
            <w:tcBorders>
              <w:top w:val="single" w:sz="4" w:space="0" w:color="auto"/>
              <w:left w:val="single" w:sz="4" w:space="0" w:color="auto"/>
              <w:right w:val="single" w:sz="4" w:space="0" w:color="auto"/>
            </w:tcBorders>
          </w:tcPr>
          <w:p w:rsidR="006B4997" w:rsidRPr="00663610" w:rsidRDefault="006B4997" w:rsidP="009004A3">
            <w:pPr>
              <w:pStyle w:val="BodyText"/>
              <w:tabs>
                <w:tab w:val="clear" w:pos="1080"/>
              </w:tabs>
              <w:spacing w:line="233" w:lineRule="auto"/>
              <w:jc w:val="right"/>
              <w:rPr>
                <w:szCs w:val="22"/>
                <w:lang w:eastAsia="zh-CN"/>
              </w:rPr>
            </w:pPr>
          </w:p>
          <w:p w:rsidR="006B4997" w:rsidRPr="00663610" w:rsidRDefault="003F2ED5" w:rsidP="00C0004D">
            <w:pPr>
              <w:pStyle w:val="BodyText"/>
              <w:tabs>
                <w:tab w:val="clear" w:pos="1080"/>
              </w:tabs>
              <w:spacing w:line="233" w:lineRule="auto"/>
              <w:jc w:val="right"/>
              <w:rPr>
                <w:szCs w:val="22"/>
                <w:lang w:eastAsia="zh-CN"/>
              </w:rPr>
            </w:pPr>
            <w:r>
              <w:rPr>
                <w:szCs w:val="22"/>
                <w:lang w:eastAsia="zh-CN"/>
              </w:rPr>
              <w:t>380,374</w:t>
            </w:r>
          </w:p>
        </w:tc>
        <w:tc>
          <w:tcPr>
            <w:tcW w:w="1620" w:type="dxa"/>
            <w:tcBorders>
              <w:top w:val="single" w:sz="4" w:space="0" w:color="auto"/>
              <w:left w:val="single" w:sz="4" w:space="0" w:color="auto"/>
              <w:right w:val="single" w:sz="4" w:space="0" w:color="auto"/>
            </w:tcBorders>
          </w:tcPr>
          <w:p w:rsidR="00425D5E" w:rsidRDefault="00425D5E" w:rsidP="00096719">
            <w:pPr>
              <w:pStyle w:val="BodyText"/>
              <w:tabs>
                <w:tab w:val="clear" w:pos="1080"/>
              </w:tabs>
              <w:spacing w:line="233" w:lineRule="auto"/>
              <w:jc w:val="right"/>
              <w:rPr>
                <w:szCs w:val="22"/>
                <w:lang w:eastAsia="zh-CN"/>
              </w:rPr>
            </w:pPr>
          </w:p>
          <w:p w:rsidR="00425D5E" w:rsidRPr="00663610" w:rsidRDefault="00425D5E" w:rsidP="0015293D">
            <w:pPr>
              <w:pStyle w:val="BodyText"/>
              <w:tabs>
                <w:tab w:val="clear" w:pos="1080"/>
              </w:tabs>
              <w:spacing w:line="233" w:lineRule="auto"/>
              <w:jc w:val="right"/>
              <w:rPr>
                <w:szCs w:val="22"/>
                <w:lang w:eastAsia="zh-CN"/>
              </w:rPr>
            </w:pPr>
            <w:r>
              <w:rPr>
                <w:szCs w:val="22"/>
                <w:lang w:eastAsia="zh-CN"/>
              </w:rPr>
              <w:t>2</w:t>
            </w:r>
            <w:r w:rsidR="0015293D">
              <w:rPr>
                <w:szCs w:val="22"/>
                <w:lang w:eastAsia="zh-CN"/>
              </w:rPr>
              <w:t>88,995</w:t>
            </w:r>
          </w:p>
        </w:tc>
        <w:tc>
          <w:tcPr>
            <w:tcW w:w="270" w:type="dxa"/>
            <w:tcBorders>
              <w:top w:val="single" w:sz="4" w:space="0" w:color="auto"/>
              <w:left w:val="single" w:sz="4" w:space="0" w:color="auto"/>
            </w:tcBorders>
          </w:tcPr>
          <w:p w:rsidR="006B4997" w:rsidRPr="00663610" w:rsidRDefault="006B4997" w:rsidP="009004A3">
            <w:pPr>
              <w:pStyle w:val="BodyText"/>
              <w:tabs>
                <w:tab w:val="clear" w:pos="1080"/>
              </w:tabs>
              <w:spacing w:line="233" w:lineRule="auto"/>
              <w:jc w:val="right"/>
              <w:rPr>
                <w:szCs w:val="22"/>
              </w:rPr>
            </w:pPr>
          </w:p>
        </w:tc>
        <w:tc>
          <w:tcPr>
            <w:tcW w:w="1397" w:type="dxa"/>
            <w:tcBorders>
              <w:top w:val="single" w:sz="4" w:space="0" w:color="auto"/>
              <w:right w:val="single" w:sz="4" w:space="0" w:color="auto"/>
            </w:tcBorders>
          </w:tcPr>
          <w:p w:rsidR="006B4997" w:rsidRPr="00663610" w:rsidRDefault="006B4997" w:rsidP="00F82BA0">
            <w:pPr>
              <w:pStyle w:val="BodyText"/>
              <w:tabs>
                <w:tab w:val="clear" w:pos="1080"/>
              </w:tabs>
              <w:spacing w:line="233" w:lineRule="auto"/>
              <w:jc w:val="right"/>
              <w:rPr>
                <w:szCs w:val="22"/>
                <w:lang w:eastAsia="zh-CN"/>
              </w:rPr>
            </w:pPr>
          </w:p>
          <w:p w:rsidR="006B4997" w:rsidRPr="00663610" w:rsidRDefault="003F2ED5" w:rsidP="00425D5E">
            <w:pPr>
              <w:pStyle w:val="BodyText"/>
              <w:tabs>
                <w:tab w:val="clear" w:pos="1080"/>
              </w:tabs>
              <w:spacing w:line="233" w:lineRule="auto"/>
              <w:jc w:val="right"/>
              <w:rPr>
                <w:szCs w:val="22"/>
                <w:lang w:eastAsia="zh-CN"/>
              </w:rPr>
            </w:pPr>
            <w:r>
              <w:rPr>
                <w:szCs w:val="22"/>
                <w:lang w:eastAsia="zh-CN"/>
              </w:rPr>
              <w:t>380,374</w:t>
            </w:r>
          </w:p>
        </w:tc>
        <w:tc>
          <w:tcPr>
            <w:tcW w:w="1663" w:type="dxa"/>
            <w:tcBorders>
              <w:top w:val="single" w:sz="4" w:space="0" w:color="auto"/>
              <w:left w:val="single" w:sz="4" w:space="0" w:color="auto"/>
              <w:right w:val="single" w:sz="4" w:space="0" w:color="auto"/>
            </w:tcBorders>
          </w:tcPr>
          <w:p w:rsidR="006B4997" w:rsidRPr="00663610" w:rsidRDefault="006B4997" w:rsidP="00F82BA0">
            <w:pPr>
              <w:pStyle w:val="BodyText"/>
              <w:tabs>
                <w:tab w:val="clear" w:pos="1080"/>
              </w:tabs>
              <w:spacing w:line="233" w:lineRule="auto"/>
              <w:jc w:val="right"/>
              <w:rPr>
                <w:szCs w:val="22"/>
                <w:lang w:eastAsia="zh-CN"/>
              </w:rPr>
            </w:pPr>
          </w:p>
          <w:p w:rsidR="006B4997" w:rsidRPr="00663610" w:rsidRDefault="006B4997" w:rsidP="0015293D">
            <w:pPr>
              <w:pStyle w:val="BodyText"/>
              <w:tabs>
                <w:tab w:val="clear" w:pos="1080"/>
              </w:tabs>
              <w:spacing w:line="233" w:lineRule="auto"/>
              <w:jc w:val="right"/>
              <w:rPr>
                <w:szCs w:val="22"/>
                <w:lang w:eastAsia="zh-CN"/>
              </w:rPr>
            </w:pPr>
            <w:r w:rsidRPr="00663610">
              <w:rPr>
                <w:szCs w:val="22"/>
                <w:lang w:eastAsia="zh-CN"/>
              </w:rPr>
              <w:t>2</w:t>
            </w:r>
            <w:r w:rsidR="0015293D">
              <w:rPr>
                <w:szCs w:val="22"/>
                <w:lang w:eastAsia="zh-CN"/>
              </w:rPr>
              <w:t>88,995</w:t>
            </w:r>
          </w:p>
        </w:tc>
      </w:tr>
      <w:tr w:rsidR="006B4997" w:rsidRPr="00663610">
        <w:tc>
          <w:tcPr>
            <w:tcW w:w="2988" w:type="dxa"/>
            <w:tcBorders>
              <w:left w:val="single" w:sz="4" w:space="0" w:color="auto"/>
              <w:bottom w:val="single" w:sz="4" w:space="0" w:color="auto"/>
            </w:tcBorders>
          </w:tcPr>
          <w:p w:rsidR="006B4997" w:rsidRPr="00663610" w:rsidRDefault="006B4997" w:rsidP="009004A3">
            <w:pPr>
              <w:pStyle w:val="BodyText"/>
              <w:tabs>
                <w:tab w:val="clear" w:pos="1080"/>
              </w:tabs>
              <w:spacing w:line="233" w:lineRule="auto"/>
              <w:ind w:right="-198"/>
              <w:rPr>
                <w:i/>
                <w:iCs/>
                <w:szCs w:val="22"/>
              </w:rPr>
            </w:pPr>
          </w:p>
        </w:tc>
        <w:tc>
          <w:tcPr>
            <w:tcW w:w="270" w:type="dxa"/>
            <w:tcBorders>
              <w:bottom w:val="single" w:sz="4" w:space="0" w:color="auto"/>
              <w:right w:val="single" w:sz="4" w:space="0" w:color="auto"/>
            </w:tcBorders>
          </w:tcPr>
          <w:p w:rsidR="006B4997" w:rsidRPr="00663610" w:rsidRDefault="006B4997" w:rsidP="009004A3">
            <w:pPr>
              <w:pStyle w:val="BodyText"/>
              <w:tabs>
                <w:tab w:val="clear" w:pos="1080"/>
              </w:tabs>
              <w:spacing w:line="233" w:lineRule="auto"/>
              <w:rPr>
                <w:i/>
                <w:iCs/>
                <w:szCs w:val="22"/>
              </w:rPr>
            </w:pPr>
          </w:p>
        </w:tc>
        <w:tc>
          <w:tcPr>
            <w:tcW w:w="1350" w:type="dxa"/>
            <w:tcBorders>
              <w:left w:val="single" w:sz="4" w:space="0" w:color="auto"/>
              <w:bottom w:val="single" w:sz="4" w:space="0" w:color="auto"/>
              <w:right w:val="single" w:sz="4" w:space="0" w:color="auto"/>
            </w:tcBorders>
          </w:tcPr>
          <w:p w:rsidR="006B4997" w:rsidRPr="00663610" w:rsidRDefault="006B4997" w:rsidP="009004A3">
            <w:pPr>
              <w:pStyle w:val="BodyText"/>
              <w:tabs>
                <w:tab w:val="clear" w:pos="1080"/>
              </w:tabs>
              <w:spacing w:line="233" w:lineRule="auto"/>
              <w:jc w:val="right"/>
              <w:rPr>
                <w:szCs w:val="22"/>
              </w:rPr>
            </w:pPr>
          </w:p>
        </w:tc>
        <w:tc>
          <w:tcPr>
            <w:tcW w:w="1620" w:type="dxa"/>
            <w:tcBorders>
              <w:left w:val="single" w:sz="4" w:space="0" w:color="auto"/>
              <w:bottom w:val="single" w:sz="4" w:space="0" w:color="auto"/>
              <w:right w:val="single" w:sz="4" w:space="0" w:color="auto"/>
            </w:tcBorders>
          </w:tcPr>
          <w:p w:rsidR="006B4997" w:rsidRPr="00663610" w:rsidRDefault="006B4997" w:rsidP="00F82BA0">
            <w:pPr>
              <w:pStyle w:val="BodyText"/>
              <w:tabs>
                <w:tab w:val="clear" w:pos="1080"/>
              </w:tabs>
              <w:spacing w:line="233" w:lineRule="auto"/>
              <w:jc w:val="right"/>
              <w:rPr>
                <w:sz w:val="16"/>
                <w:szCs w:val="16"/>
              </w:rPr>
            </w:pPr>
          </w:p>
        </w:tc>
        <w:tc>
          <w:tcPr>
            <w:tcW w:w="270" w:type="dxa"/>
            <w:tcBorders>
              <w:left w:val="single" w:sz="4" w:space="0" w:color="auto"/>
              <w:bottom w:val="single" w:sz="4" w:space="0" w:color="auto"/>
            </w:tcBorders>
          </w:tcPr>
          <w:p w:rsidR="006B4997" w:rsidRPr="00663610" w:rsidRDefault="006B4997" w:rsidP="009004A3">
            <w:pPr>
              <w:pStyle w:val="BodyText"/>
              <w:tabs>
                <w:tab w:val="clear" w:pos="1080"/>
              </w:tabs>
              <w:spacing w:line="233" w:lineRule="auto"/>
              <w:jc w:val="right"/>
              <w:rPr>
                <w:szCs w:val="22"/>
              </w:rPr>
            </w:pPr>
          </w:p>
        </w:tc>
        <w:tc>
          <w:tcPr>
            <w:tcW w:w="1397" w:type="dxa"/>
            <w:tcBorders>
              <w:bottom w:val="single" w:sz="4" w:space="0" w:color="auto"/>
              <w:right w:val="single" w:sz="4" w:space="0" w:color="auto"/>
            </w:tcBorders>
          </w:tcPr>
          <w:p w:rsidR="006B4997" w:rsidRPr="00663610" w:rsidRDefault="006B4997" w:rsidP="00F82BA0">
            <w:pPr>
              <w:pStyle w:val="BodyText"/>
              <w:tabs>
                <w:tab w:val="clear" w:pos="1080"/>
              </w:tabs>
              <w:spacing w:line="233" w:lineRule="auto"/>
              <w:jc w:val="right"/>
              <w:rPr>
                <w:szCs w:val="22"/>
              </w:rPr>
            </w:pPr>
          </w:p>
        </w:tc>
        <w:tc>
          <w:tcPr>
            <w:tcW w:w="1663" w:type="dxa"/>
            <w:tcBorders>
              <w:left w:val="single" w:sz="4" w:space="0" w:color="auto"/>
              <w:bottom w:val="single" w:sz="4" w:space="0" w:color="auto"/>
              <w:right w:val="single" w:sz="4" w:space="0" w:color="auto"/>
            </w:tcBorders>
          </w:tcPr>
          <w:p w:rsidR="006B4997" w:rsidRPr="00663610" w:rsidRDefault="006B4997" w:rsidP="00F82BA0">
            <w:pPr>
              <w:pStyle w:val="BodyText"/>
              <w:tabs>
                <w:tab w:val="clear" w:pos="1080"/>
              </w:tabs>
              <w:spacing w:line="233" w:lineRule="auto"/>
              <w:jc w:val="right"/>
              <w:rPr>
                <w:sz w:val="16"/>
                <w:szCs w:val="16"/>
              </w:rPr>
            </w:pPr>
          </w:p>
        </w:tc>
      </w:tr>
      <w:tr w:rsidR="006B4997" w:rsidRPr="00663610">
        <w:trPr>
          <w:trHeight w:val="80"/>
        </w:trPr>
        <w:tc>
          <w:tcPr>
            <w:tcW w:w="2988" w:type="dxa"/>
            <w:tcBorders>
              <w:top w:val="single" w:sz="4" w:space="0" w:color="auto"/>
              <w:left w:val="single" w:sz="4" w:space="0" w:color="auto"/>
              <w:bottom w:val="single" w:sz="4" w:space="0" w:color="auto"/>
            </w:tcBorders>
          </w:tcPr>
          <w:p w:rsidR="006B4997" w:rsidRPr="00663610" w:rsidRDefault="006B4997" w:rsidP="009004A3">
            <w:pPr>
              <w:pStyle w:val="BodyText"/>
              <w:tabs>
                <w:tab w:val="clear" w:pos="1080"/>
              </w:tabs>
              <w:spacing w:line="233" w:lineRule="auto"/>
              <w:rPr>
                <w:szCs w:val="22"/>
              </w:rPr>
            </w:pPr>
            <w:r w:rsidRPr="00663610">
              <w:rPr>
                <w:szCs w:val="22"/>
              </w:rPr>
              <w:t>Basic EPS (sen)</w:t>
            </w:r>
          </w:p>
          <w:p w:rsidR="006B4997" w:rsidRPr="00663610" w:rsidRDefault="006B4997" w:rsidP="009004A3">
            <w:pPr>
              <w:pStyle w:val="BodyText"/>
              <w:tabs>
                <w:tab w:val="clear" w:pos="1080"/>
              </w:tabs>
              <w:spacing w:line="233" w:lineRule="auto"/>
              <w:rPr>
                <w:i/>
                <w:iCs/>
                <w:szCs w:val="22"/>
              </w:rPr>
            </w:pPr>
          </w:p>
        </w:tc>
        <w:tc>
          <w:tcPr>
            <w:tcW w:w="270" w:type="dxa"/>
            <w:tcBorders>
              <w:top w:val="single" w:sz="4" w:space="0" w:color="auto"/>
              <w:bottom w:val="single" w:sz="4" w:space="0" w:color="auto"/>
              <w:right w:val="single" w:sz="4" w:space="0" w:color="auto"/>
            </w:tcBorders>
          </w:tcPr>
          <w:p w:rsidR="006B4997" w:rsidRPr="00663610" w:rsidRDefault="006B4997" w:rsidP="009004A3">
            <w:pPr>
              <w:pStyle w:val="BodyText"/>
              <w:tabs>
                <w:tab w:val="clear" w:pos="1080"/>
              </w:tabs>
              <w:spacing w:line="233" w:lineRule="auto"/>
              <w:rPr>
                <w:i/>
                <w:iCs/>
                <w:szCs w:val="22"/>
              </w:rPr>
            </w:pPr>
          </w:p>
        </w:tc>
        <w:tc>
          <w:tcPr>
            <w:tcW w:w="1350" w:type="dxa"/>
            <w:tcBorders>
              <w:top w:val="single" w:sz="4" w:space="0" w:color="auto"/>
              <w:left w:val="single" w:sz="4" w:space="0" w:color="auto"/>
              <w:bottom w:val="single" w:sz="4" w:space="0" w:color="auto"/>
              <w:right w:val="single" w:sz="4" w:space="0" w:color="auto"/>
            </w:tcBorders>
          </w:tcPr>
          <w:p w:rsidR="006B4997" w:rsidRPr="00663610" w:rsidRDefault="00264F5D" w:rsidP="00B35C19">
            <w:pPr>
              <w:pStyle w:val="BodyText"/>
              <w:tabs>
                <w:tab w:val="clear" w:pos="1080"/>
              </w:tabs>
              <w:spacing w:line="233" w:lineRule="auto"/>
              <w:jc w:val="right"/>
              <w:rPr>
                <w:szCs w:val="22"/>
                <w:lang w:eastAsia="zh-CN"/>
              </w:rPr>
            </w:pPr>
            <w:r>
              <w:rPr>
                <w:szCs w:val="22"/>
                <w:lang w:eastAsia="zh-CN"/>
              </w:rPr>
              <w:t>0.</w:t>
            </w:r>
            <w:r>
              <w:rPr>
                <w:rFonts w:hint="eastAsia"/>
                <w:szCs w:val="22"/>
                <w:lang w:eastAsia="zh-CN"/>
              </w:rPr>
              <w:t>7</w:t>
            </w:r>
            <w:r w:rsidR="00BC0D67">
              <w:rPr>
                <w:szCs w:val="22"/>
                <w:lang w:eastAsia="zh-CN"/>
              </w:rPr>
              <w:t>2</w:t>
            </w:r>
          </w:p>
        </w:tc>
        <w:tc>
          <w:tcPr>
            <w:tcW w:w="1620" w:type="dxa"/>
            <w:tcBorders>
              <w:top w:val="single" w:sz="4" w:space="0" w:color="auto"/>
              <w:left w:val="single" w:sz="4" w:space="0" w:color="auto"/>
              <w:bottom w:val="single" w:sz="4" w:space="0" w:color="auto"/>
              <w:right w:val="single" w:sz="4" w:space="0" w:color="auto"/>
            </w:tcBorders>
          </w:tcPr>
          <w:p w:rsidR="006B4997" w:rsidRPr="00663610" w:rsidRDefault="00425D5E" w:rsidP="0015293D">
            <w:pPr>
              <w:pStyle w:val="BodyText"/>
              <w:tabs>
                <w:tab w:val="clear" w:pos="1080"/>
              </w:tabs>
              <w:spacing w:line="233" w:lineRule="auto"/>
              <w:jc w:val="right"/>
              <w:rPr>
                <w:szCs w:val="22"/>
                <w:lang w:eastAsia="zh-CN"/>
              </w:rPr>
            </w:pPr>
            <w:r>
              <w:rPr>
                <w:szCs w:val="22"/>
                <w:lang w:eastAsia="zh-CN"/>
              </w:rPr>
              <w:t>0.</w:t>
            </w:r>
            <w:r w:rsidR="0015293D">
              <w:rPr>
                <w:szCs w:val="22"/>
                <w:lang w:eastAsia="zh-CN"/>
              </w:rPr>
              <w:t>5</w:t>
            </w:r>
            <w:r>
              <w:rPr>
                <w:szCs w:val="22"/>
                <w:lang w:eastAsia="zh-CN"/>
              </w:rPr>
              <w:t>3</w:t>
            </w:r>
          </w:p>
        </w:tc>
        <w:tc>
          <w:tcPr>
            <w:tcW w:w="270" w:type="dxa"/>
            <w:tcBorders>
              <w:top w:val="single" w:sz="4" w:space="0" w:color="auto"/>
              <w:left w:val="single" w:sz="4" w:space="0" w:color="auto"/>
              <w:bottom w:val="single" w:sz="4" w:space="0" w:color="auto"/>
            </w:tcBorders>
          </w:tcPr>
          <w:p w:rsidR="006B4997" w:rsidRPr="00663610" w:rsidRDefault="006B4997" w:rsidP="009004A3">
            <w:pPr>
              <w:pStyle w:val="BodyText"/>
              <w:tabs>
                <w:tab w:val="clear" w:pos="1080"/>
              </w:tabs>
              <w:spacing w:line="233" w:lineRule="auto"/>
              <w:jc w:val="right"/>
              <w:rPr>
                <w:szCs w:val="22"/>
              </w:rPr>
            </w:pPr>
          </w:p>
        </w:tc>
        <w:tc>
          <w:tcPr>
            <w:tcW w:w="1397" w:type="dxa"/>
            <w:tcBorders>
              <w:top w:val="single" w:sz="4" w:space="0" w:color="auto"/>
              <w:bottom w:val="single" w:sz="4" w:space="0" w:color="auto"/>
              <w:right w:val="single" w:sz="4" w:space="0" w:color="auto"/>
            </w:tcBorders>
          </w:tcPr>
          <w:p w:rsidR="006B4997" w:rsidRPr="00663610" w:rsidRDefault="00BC0D67" w:rsidP="00264F5D">
            <w:pPr>
              <w:pStyle w:val="BodyText"/>
              <w:tabs>
                <w:tab w:val="clear" w:pos="1080"/>
              </w:tabs>
              <w:spacing w:line="233" w:lineRule="auto"/>
              <w:jc w:val="right"/>
              <w:rPr>
                <w:szCs w:val="22"/>
                <w:lang w:eastAsia="zh-CN"/>
              </w:rPr>
            </w:pPr>
            <w:r>
              <w:rPr>
                <w:szCs w:val="22"/>
                <w:lang w:eastAsia="zh-CN"/>
              </w:rPr>
              <w:t>0.</w:t>
            </w:r>
            <w:r w:rsidR="00264F5D">
              <w:rPr>
                <w:rFonts w:hint="eastAsia"/>
                <w:szCs w:val="22"/>
                <w:lang w:eastAsia="zh-CN"/>
              </w:rPr>
              <w:t>7</w:t>
            </w:r>
            <w:r>
              <w:rPr>
                <w:szCs w:val="22"/>
                <w:lang w:eastAsia="zh-CN"/>
              </w:rPr>
              <w:t>2</w:t>
            </w:r>
          </w:p>
        </w:tc>
        <w:tc>
          <w:tcPr>
            <w:tcW w:w="1663" w:type="dxa"/>
            <w:tcBorders>
              <w:top w:val="single" w:sz="4" w:space="0" w:color="auto"/>
              <w:left w:val="single" w:sz="4" w:space="0" w:color="auto"/>
              <w:bottom w:val="single" w:sz="4" w:space="0" w:color="auto"/>
              <w:right w:val="single" w:sz="4" w:space="0" w:color="auto"/>
            </w:tcBorders>
          </w:tcPr>
          <w:p w:rsidR="006B4997" w:rsidRPr="00663610" w:rsidRDefault="0015293D" w:rsidP="00332A24">
            <w:pPr>
              <w:pStyle w:val="BodyText"/>
              <w:tabs>
                <w:tab w:val="clear" w:pos="1080"/>
              </w:tabs>
              <w:spacing w:line="233" w:lineRule="auto"/>
              <w:jc w:val="right"/>
              <w:rPr>
                <w:szCs w:val="22"/>
                <w:lang w:eastAsia="zh-CN"/>
              </w:rPr>
            </w:pPr>
            <w:r>
              <w:rPr>
                <w:szCs w:val="22"/>
                <w:lang w:eastAsia="zh-CN"/>
              </w:rPr>
              <w:t>0.53</w:t>
            </w:r>
          </w:p>
        </w:tc>
      </w:tr>
    </w:tbl>
    <w:p w:rsidR="00633442" w:rsidRDefault="00633442" w:rsidP="000C01B7">
      <w:pPr>
        <w:rPr>
          <w:b/>
          <w:bCs/>
          <w:szCs w:val="22"/>
        </w:rPr>
      </w:pPr>
    </w:p>
    <w:p w:rsidR="00633442" w:rsidRDefault="00633442" w:rsidP="00633442">
      <w:r>
        <w:br w:type="page"/>
      </w:r>
    </w:p>
    <w:p w:rsidR="00633442" w:rsidRDefault="00633442" w:rsidP="00633442">
      <w:pPr>
        <w:jc w:val="both"/>
        <w:rPr>
          <w:b/>
          <w:bCs/>
          <w:szCs w:val="22"/>
        </w:rPr>
      </w:pPr>
    </w:p>
    <w:p w:rsidR="00633442" w:rsidRPr="00663610" w:rsidRDefault="00633442" w:rsidP="00633442">
      <w:pPr>
        <w:jc w:val="both"/>
        <w:rPr>
          <w:b/>
          <w:bCs/>
          <w:szCs w:val="22"/>
        </w:rPr>
      </w:pPr>
      <w:r w:rsidRPr="00663610">
        <w:rPr>
          <w:b/>
          <w:bCs/>
          <w:szCs w:val="22"/>
        </w:rPr>
        <w:t>2</w:t>
      </w:r>
      <w:r w:rsidRPr="00663610">
        <w:rPr>
          <w:b/>
          <w:bCs/>
          <w:szCs w:val="22"/>
          <w:lang w:eastAsia="zh-CN"/>
        </w:rPr>
        <w:t>6</w:t>
      </w:r>
      <w:r w:rsidRPr="00663610">
        <w:rPr>
          <w:b/>
          <w:bCs/>
          <w:szCs w:val="22"/>
        </w:rPr>
        <w:t>.</w:t>
      </w:r>
      <w:r w:rsidRPr="00663610">
        <w:rPr>
          <w:b/>
          <w:bCs/>
          <w:szCs w:val="22"/>
        </w:rPr>
        <w:tab/>
        <w:t>Earnings Per Share (“EPS”)</w:t>
      </w:r>
      <w:r>
        <w:rPr>
          <w:b/>
          <w:bCs/>
          <w:szCs w:val="22"/>
        </w:rPr>
        <w:t xml:space="preserve"> (cont’d)</w:t>
      </w:r>
    </w:p>
    <w:p w:rsidR="002B49A6" w:rsidRPr="00663610" w:rsidRDefault="002B49A6" w:rsidP="000C01B7">
      <w:pPr>
        <w:rPr>
          <w:b/>
          <w:bCs/>
          <w:szCs w:val="22"/>
        </w:rPr>
      </w:pPr>
    </w:p>
    <w:p w:rsidR="00541004" w:rsidRPr="00663610" w:rsidRDefault="00D74BEB" w:rsidP="00C552A3">
      <w:pPr>
        <w:pStyle w:val="BodyText"/>
        <w:tabs>
          <w:tab w:val="clear" w:pos="1080"/>
          <w:tab w:val="left" w:pos="810"/>
          <w:tab w:val="left" w:pos="3240"/>
        </w:tabs>
        <w:spacing w:line="233" w:lineRule="auto"/>
        <w:jc w:val="left"/>
        <w:rPr>
          <w:b/>
          <w:bCs/>
          <w:szCs w:val="22"/>
        </w:rPr>
      </w:pPr>
      <w:r w:rsidRPr="00663610">
        <w:rPr>
          <w:b/>
          <w:bCs/>
          <w:szCs w:val="22"/>
        </w:rPr>
        <w:tab/>
      </w:r>
      <w:r w:rsidR="00541004" w:rsidRPr="00663610">
        <w:rPr>
          <w:b/>
          <w:bCs/>
          <w:szCs w:val="22"/>
        </w:rPr>
        <w:t>Diluted</w:t>
      </w:r>
    </w:p>
    <w:p w:rsidR="00541004" w:rsidRPr="00663610" w:rsidRDefault="00541004" w:rsidP="00E66080">
      <w:pPr>
        <w:pStyle w:val="BodyText"/>
        <w:spacing w:line="233" w:lineRule="auto"/>
        <w:ind w:left="720"/>
        <w:rPr>
          <w:b/>
          <w:bCs/>
          <w:szCs w:val="22"/>
        </w:rPr>
      </w:pPr>
    </w:p>
    <w:p w:rsidR="004F347C" w:rsidRPr="00663610" w:rsidRDefault="00C209B2" w:rsidP="004F347C">
      <w:pPr>
        <w:pStyle w:val="BodyText"/>
        <w:tabs>
          <w:tab w:val="clear" w:pos="1080"/>
        </w:tabs>
        <w:spacing w:line="232" w:lineRule="auto"/>
        <w:ind w:left="720"/>
        <w:rPr>
          <w:i/>
          <w:iCs/>
          <w:szCs w:val="22"/>
        </w:rPr>
      </w:pPr>
      <w:r w:rsidRPr="001A0E58">
        <w:rPr>
          <w:szCs w:val="22"/>
        </w:rPr>
        <w:t xml:space="preserve">The calculation of the diluted EPS is based on the net profit for the current financial quarter and the </w:t>
      </w:r>
      <w:r w:rsidRPr="001A0E58">
        <w:rPr>
          <w:rFonts w:hint="eastAsia"/>
          <w:szCs w:val="22"/>
          <w:lang w:eastAsia="zh-CN"/>
        </w:rPr>
        <w:t>three</w:t>
      </w:r>
      <w:r w:rsidRPr="001A0E58">
        <w:rPr>
          <w:szCs w:val="22"/>
        </w:rPr>
        <w:t xml:space="preserve"> (</w:t>
      </w:r>
      <w:r w:rsidRPr="001A0E58">
        <w:rPr>
          <w:rFonts w:hint="eastAsia"/>
          <w:szCs w:val="22"/>
          <w:lang w:eastAsia="zh-CN"/>
        </w:rPr>
        <w:t>3</w:t>
      </w:r>
      <w:r w:rsidRPr="001A0E58">
        <w:rPr>
          <w:szCs w:val="22"/>
        </w:rPr>
        <w:t>) months financial period, divided by the adjusted weighted average number of ordinary shares of RM0.10 each in issue and issuable under the exercise of share options granted under the ESOS exercise</w:t>
      </w:r>
      <w:r w:rsidR="003411BC" w:rsidRPr="00663610">
        <w:rPr>
          <w:rFonts w:hint="eastAsia"/>
          <w:szCs w:val="22"/>
          <w:lang w:eastAsia="zh-CN"/>
        </w:rPr>
        <w:t xml:space="preserve">. </w:t>
      </w:r>
    </w:p>
    <w:p w:rsidR="00911F8A" w:rsidRPr="00663610" w:rsidRDefault="00911F8A" w:rsidP="009004A3">
      <w:pPr>
        <w:pStyle w:val="BodyText"/>
        <w:tabs>
          <w:tab w:val="clear" w:pos="1080"/>
        </w:tabs>
        <w:spacing w:line="233" w:lineRule="auto"/>
        <w:ind w:left="720"/>
        <w:rPr>
          <w:iCs/>
          <w:szCs w:val="22"/>
        </w:rPr>
      </w:pPr>
    </w:p>
    <w:tbl>
      <w:tblPr>
        <w:tblW w:w="9468" w:type="dxa"/>
        <w:tblInd w:w="720" w:type="dxa"/>
        <w:tblLayout w:type="fixed"/>
        <w:tblLook w:val="0000" w:firstRow="0" w:lastRow="0" w:firstColumn="0" w:lastColumn="0" w:noHBand="0" w:noVBand="0"/>
      </w:tblPr>
      <w:tblGrid>
        <w:gridCol w:w="2988"/>
        <w:gridCol w:w="270"/>
        <w:gridCol w:w="1350"/>
        <w:gridCol w:w="1620"/>
        <w:gridCol w:w="270"/>
        <w:gridCol w:w="1350"/>
        <w:gridCol w:w="1620"/>
      </w:tblGrid>
      <w:tr w:rsidR="00EE0E9C" w:rsidRPr="00663610">
        <w:tc>
          <w:tcPr>
            <w:tcW w:w="2988" w:type="dxa"/>
            <w:tcBorders>
              <w:top w:val="single" w:sz="4" w:space="0" w:color="auto"/>
              <w:left w:val="single" w:sz="4" w:space="0" w:color="auto"/>
            </w:tcBorders>
          </w:tcPr>
          <w:p w:rsidR="00EE0E9C" w:rsidRPr="00663610" w:rsidRDefault="00EE0E9C" w:rsidP="009004A3">
            <w:pPr>
              <w:pStyle w:val="BodyText"/>
              <w:tabs>
                <w:tab w:val="clear" w:pos="1080"/>
              </w:tabs>
              <w:spacing w:line="233" w:lineRule="auto"/>
              <w:rPr>
                <w:i/>
                <w:iCs/>
                <w:szCs w:val="22"/>
              </w:rPr>
            </w:pPr>
          </w:p>
        </w:tc>
        <w:tc>
          <w:tcPr>
            <w:tcW w:w="270" w:type="dxa"/>
            <w:tcBorders>
              <w:top w:val="single" w:sz="4" w:space="0" w:color="auto"/>
              <w:right w:val="single" w:sz="4" w:space="0" w:color="auto"/>
            </w:tcBorders>
          </w:tcPr>
          <w:p w:rsidR="00EE0E9C" w:rsidRPr="00663610" w:rsidRDefault="00EE0E9C" w:rsidP="009004A3">
            <w:pPr>
              <w:pStyle w:val="BodyText"/>
              <w:tabs>
                <w:tab w:val="clear" w:pos="1080"/>
              </w:tabs>
              <w:spacing w:line="233" w:lineRule="auto"/>
              <w:rPr>
                <w:i/>
                <w:iCs/>
                <w:szCs w:val="22"/>
              </w:rPr>
            </w:pPr>
          </w:p>
        </w:tc>
        <w:tc>
          <w:tcPr>
            <w:tcW w:w="2970" w:type="dxa"/>
            <w:gridSpan w:val="2"/>
            <w:tcBorders>
              <w:top w:val="single" w:sz="4" w:space="0" w:color="auto"/>
              <w:left w:val="single" w:sz="4" w:space="0" w:color="auto"/>
              <w:bottom w:val="single" w:sz="4" w:space="0" w:color="auto"/>
              <w:right w:val="single" w:sz="4" w:space="0" w:color="auto"/>
            </w:tcBorders>
          </w:tcPr>
          <w:p w:rsidR="00EE0E9C" w:rsidRPr="00663610" w:rsidRDefault="00FE2A05" w:rsidP="00F73EF0">
            <w:pPr>
              <w:pStyle w:val="BodyText"/>
              <w:tabs>
                <w:tab w:val="clear" w:pos="1080"/>
              </w:tabs>
              <w:spacing w:line="233" w:lineRule="auto"/>
              <w:jc w:val="center"/>
              <w:rPr>
                <w:bCs/>
                <w:iCs/>
                <w:szCs w:val="22"/>
              </w:rPr>
            </w:pPr>
            <w:r>
              <w:rPr>
                <w:b/>
                <w:bCs/>
                <w:szCs w:val="22"/>
                <w:lang w:eastAsia="zh-CN"/>
              </w:rPr>
              <w:t>1st</w:t>
            </w:r>
            <w:r w:rsidR="00332A24" w:rsidRPr="00663610">
              <w:rPr>
                <w:b/>
                <w:bCs/>
                <w:szCs w:val="22"/>
                <w:lang w:eastAsia="zh-CN"/>
              </w:rPr>
              <w:t xml:space="preserve"> </w:t>
            </w:r>
            <w:r w:rsidR="00332A24" w:rsidRPr="00663610">
              <w:rPr>
                <w:b/>
                <w:bCs/>
                <w:szCs w:val="22"/>
              </w:rPr>
              <w:t>Quarter Ended</w:t>
            </w:r>
          </w:p>
        </w:tc>
        <w:tc>
          <w:tcPr>
            <w:tcW w:w="270" w:type="dxa"/>
            <w:tcBorders>
              <w:top w:val="single" w:sz="4" w:space="0" w:color="auto"/>
              <w:left w:val="single" w:sz="4" w:space="0" w:color="auto"/>
              <w:bottom w:val="single" w:sz="4" w:space="0" w:color="auto"/>
            </w:tcBorders>
          </w:tcPr>
          <w:p w:rsidR="00EE0E9C" w:rsidRPr="00663610" w:rsidRDefault="00EE0E9C" w:rsidP="009615E6">
            <w:pPr>
              <w:pStyle w:val="BodyText"/>
              <w:tabs>
                <w:tab w:val="clear" w:pos="1080"/>
              </w:tabs>
              <w:spacing w:line="233" w:lineRule="auto"/>
              <w:jc w:val="center"/>
              <w:rPr>
                <w:b/>
                <w:bCs/>
                <w:szCs w:val="22"/>
              </w:rPr>
            </w:pPr>
          </w:p>
        </w:tc>
        <w:tc>
          <w:tcPr>
            <w:tcW w:w="2970" w:type="dxa"/>
            <w:gridSpan w:val="2"/>
            <w:tcBorders>
              <w:top w:val="single" w:sz="4" w:space="0" w:color="auto"/>
              <w:bottom w:val="single" w:sz="4" w:space="0" w:color="auto"/>
              <w:right w:val="single" w:sz="4" w:space="0" w:color="auto"/>
            </w:tcBorders>
          </w:tcPr>
          <w:p w:rsidR="00EE0E9C" w:rsidRPr="00663610" w:rsidRDefault="00FE2A05" w:rsidP="009615E6">
            <w:pPr>
              <w:pStyle w:val="BodyText"/>
              <w:tabs>
                <w:tab w:val="clear" w:pos="1080"/>
              </w:tabs>
              <w:spacing w:line="233" w:lineRule="auto"/>
              <w:jc w:val="center"/>
              <w:rPr>
                <w:b/>
                <w:bCs/>
                <w:iCs/>
                <w:szCs w:val="22"/>
              </w:rPr>
            </w:pPr>
            <w:r>
              <w:rPr>
                <w:b/>
                <w:bCs/>
                <w:szCs w:val="22"/>
                <w:lang w:eastAsia="zh-CN"/>
              </w:rPr>
              <w:t>3</w:t>
            </w:r>
            <w:r w:rsidR="00EE0E9C" w:rsidRPr="00663610">
              <w:rPr>
                <w:b/>
                <w:bCs/>
                <w:szCs w:val="22"/>
                <w:lang w:eastAsia="zh-CN"/>
              </w:rPr>
              <w:t xml:space="preserve"> Months</w:t>
            </w:r>
            <w:r w:rsidR="00EE0E9C" w:rsidRPr="00663610">
              <w:rPr>
                <w:b/>
                <w:bCs/>
                <w:szCs w:val="22"/>
              </w:rPr>
              <w:t xml:space="preserve"> Ended</w:t>
            </w:r>
          </w:p>
        </w:tc>
      </w:tr>
      <w:tr w:rsidR="002A45EC" w:rsidRPr="00663610">
        <w:tc>
          <w:tcPr>
            <w:tcW w:w="2988" w:type="dxa"/>
            <w:tcBorders>
              <w:left w:val="single" w:sz="4" w:space="0" w:color="auto"/>
            </w:tcBorders>
          </w:tcPr>
          <w:p w:rsidR="002A45EC" w:rsidRPr="00663610" w:rsidRDefault="002A45EC" w:rsidP="009004A3">
            <w:pPr>
              <w:pStyle w:val="BodyText"/>
              <w:tabs>
                <w:tab w:val="clear" w:pos="1080"/>
              </w:tabs>
              <w:spacing w:line="233" w:lineRule="auto"/>
              <w:rPr>
                <w:i/>
                <w:iCs/>
                <w:szCs w:val="22"/>
              </w:rPr>
            </w:pPr>
          </w:p>
        </w:tc>
        <w:tc>
          <w:tcPr>
            <w:tcW w:w="270" w:type="dxa"/>
            <w:tcBorders>
              <w:right w:val="single" w:sz="4" w:space="0" w:color="auto"/>
            </w:tcBorders>
          </w:tcPr>
          <w:p w:rsidR="002A45EC" w:rsidRPr="00663610" w:rsidRDefault="002A45EC" w:rsidP="009004A3">
            <w:pPr>
              <w:pStyle w:val="BodyText"/>
              <w:tabs>
                <w:tab w:val="clear" w:pos="1080"/>
              </w:tabs>
              <w:spacing w:line="233" w:lineRule="auto"/>
              <w:rPr>
                <w:i/>
                <w:iCs/>
                <w:szCs w:val="22"/>
              </w:rPr>
            </w:pPr>
          </w:p>
        </w:tc>
        <w:tc>
          <w:tcPr>
            <w:tcW w:w="1350" w:type="dxa"/>
            <w:tcBorders>
              <w:top w:val="single" w:sz="4" w:space="0" w:color="auto"/>
              <w:left w:val="single" w:sz="4" w:space="0" w:color="auto"/>
              <w:right w:val="single" w:sz="4" w:space="0" w:color="auto"/>
            </w:tcBorders>
          </w:tcPr>
          <w:p w:rsidR="002A45EC" w:rsidRPr="00663610" w:rsidRDefault="00FE2A05" w:rsidP="00026BE0">
            <w:pPr>
              <w:pStyle w:val="BodyText"/>
              <w:tabs>
                <w:tab w:val="clear" w:pos="1080"/>
              </w:tabs>
              <w:spacing w:line="233" w:lineRule="auto"/>
              <w:jc w:val="center"/>
              <w:rPr>
                <w:b/>
                <w:bCs/>
                <w:szCs w:val="22"/>
                <w:lang w:eastAsia="zh-CN"/>
              </w:rPr>
            </w:pPr>
            <w:r>
              <w:rPr>
                <w:b/>
                <w:bCs/>
                <w:szCs w:val="22"/>
              </w:rPr>
              <w:t>31.03.2013</w:t>
            </w:r>
          </w:p>
        </w:tc>
        <w:tc>
          <w:tcPr>
            <w:tcW w:w="1620" w:type="dxa"/>
            <w:tcBorders>
              <w:top w:val="single" w:sz="4" w:space="0" w:color="auto"/>
              <w:left w:val="single" w:sz="4" w:space="0" w:color="auto"/>
              <w:right w:val="single" w:sz="4" w:space="0" w:color="auto"/>
            </w:tcBorders>
          </w:tcPr>
          <w:p w:rsidR="002A45EC" w:rsidRPr="00663610" w:rsidRDefault="00FE2A05" w:rsidP="00026BE0">
            <w:pPr>
              <w:pStyle w:val="BodyText"/>
              <w:tabs>
                <w:tab w:val="clear" w:pos="1080"/>
              </w:tabs>
              <w:spacing w:line="233" w:lineRule="auto"/>
              <w:jc w:val="center"/>
              <w:rPr>
                <w:b/>
                <w:bCs/>
                <w:iCs/>
                <w:szCs w:val="22"/>
                <w:lang w:eastAsia="zh-CN"/>
              </w:rPr>
            </w:pPr>
            <w:r>
              <w:rPr>
                <w:b/>
                <w:bCs/>
                <w:iCs/>
                <w:szCs w:val="22"/>
                <w:lang w:eastAsia="zh-CN"/>
              </w:rPr>
              <w:t>31.03.2012</w:t>
            </w:r>
          </w:p>
        </w:tc>
        <w:tc>
          <w:tcPr>
            <w:tcW w:w="270" w:type="dxa"/>
            <w:tcBorders>
              <w:top w:val="single" w:sz="4" w:space="0" w:color="auto"/>
              <w:left w:val="single" w:sz="4" w:space="0" w:color="auto"/>
            </w:tcBorders>
          </w:tcPr>
          <w:p w:rsidR="002A45EC" w:rsidRPr="00663610" w:rsidRDefault="002A45EC" w:rsidP="009615E6">
            <w:pPr>
              <w:pStyle w:val="BodyText"/>
              <w:tabs>
                <w:tab w:val="clear" w:pos="1080"/>
              </w:tabs>
              <w:spacing w:line="233" w:lineRule="auto"/>
              <w:jc w:val="center"/>
              <w:rPr>
                <w:b/>
                <w:bCs/>
                <w:szCs w:val="22"/>
              </w:rPr>
            </w:pPr>
          </w:p>
        </w:tc>
        <w:tc>
          <w:tcPr>
            <w:tcW w:w="1350" w:type="dxa"/>
            <w:tcBorders>
              <w:top w:val="single" w:sz="4" w:space="0" w:color="auto"/>
              <w:right w:val="single" w:sz="4" w:space="0" w:color="auto"/>
            </w:tcBorders>
          </w:tcPr>
          <w:p w:rsidR="002A45EC" w:rsidRPr="00663610" w:rsidRDefault="00FE2A05" w:rsidP="00026BE0">
            <w:pPr>
              <w:pStyle w:val="BodyText"/>
              <w:tabs>
                <w:tab w:val="clear" w:pos="1080"/>
              </w:tabs>
              <w:spacing w:line="233" w:lineRule="auto"/>
              <w:jc w:val="center"/>
              <w:rPr>
                <w:b/>
                <w:bCs/>
                <w:szCs w:val="22"/>
                <w:lang w:eastAsia="zh-CN"/>
              </w:rPr>
            </w:pPr>
            <w:r>
              <w:rPr>
                <w:b/>
                <w:bCs/>
                <w:szCs w:val="22"/>
              </w:rPr>
              <w:t>31.03.2013</w:t>
            </w:r>
          </w:p>
        </w:tc>
        <w:tc>
          <w:tcPr>
            <w:tcW w:w="1620" w:type="dxa"/>
            <w:tcBorders>
              <w:top w:val="single" w:sz="4" w:space="0" w:color="auto"/>
              <w:left w:val="single" w:sz="4" w:space="0" w:color="auto"/>
              <w:right w:val="single" w:sz="4" w:space="0" w:color="auto"/>
            </w:tcBorders>
          </w:tcPr>
          <w:p w:rsidR="002A45EC" w:rsidRPr="00663610" w:rsidRDefault="00FE2A05" w:rsidP="00026BE0">
            <w:pPr>
              <w:pStyle w:val="BodyText"/>
              <w:tabs>
                <w:tab w:val="clear" w:pos="1080"/>
              </w:tabs>
              <w:spacing w:line="233" w:lineRule="auto"/>
              <w:jc w:val="center"/>
              <w:rPr>
                <w:b/>
                <w:bCs/>
                <w:iCs/>
                <w:szCs w:val="22"/>
                <w:lang w:eastAsia="zh-CN"/>
              </w:rPr>
            </w:pPr>
            <w:r>
              <w:rPr>
                <w:b/>
                <w:bCs/>
                <w:iCs/>
                <w:szCs w:val="22"/>
                <w:lang w:eastAsia="zh-CN"/>
              </w:rPr>
              <w:t>31.03.2012</w:t>
            </w:r>
          </w:p>
        </w:tc>
      </w:tr>
      <w:tr w:rsidR="004B5F5C" w:rsidRPr="00663610">
        <w:tc>
          <w:tcPr>
            <w:tcW w:w="2988" w:type="dxa"/>
            <w:tcBorders>
              <w:top w:val="single" w:sz="4" w:space="0" w:color="auto"/>
              <w:left w:val="single" w:sz="4" w:space="0" w:color="auto"/>
            </w:tcBorders>
          </w:tcPr>
          <w:p w:rsidR="004B5F5C" w:rsidRPr="00663610" w:rsidRDefault="004B5F5C" w:rsidP="009004A3">
            <w:pPr>
              <w:pStyle w:val="BodyText"/>
              <w:tabs>
                <w:tab w:val="clear" w:pos="1080"/>
              </w:tabs>
              <w:spacing w:line="233" w:lineRule="auto"/>
              <w:rPr>
                <w:i/>
                <w:iCs/>
                <w:szCs w:val="22"/>
              </w:rPr>
            </w:pPr>
            <w:r w:rsidRPr="00663610">
              <w:rPr>
                <w:szCs w:val="22"/>
              </w:rPr>
              <w:t>Weighted average number of ordinary shares in issue (’000)</w:t>
            </w:r>
          </w:p>
        </w:tc>
        <w:tc>
          <w:tcPr>
            <w:tcW w:w="270" w:type="dxa"/>
            <w:tcBorders>
              <w:top w:val="single" w:sz="4" w:space="0" w:color="auto"/>
              <w:right w:val="single" w:sz="4" w:space="0" w:color="auto"/>
            </w:tcBorders>
          </w:tcPr>
          <w:p w:rsidR="004B5F5C" w:rsidRPr="00663610" w:rsidRDefault="004B5F5C" w:rsidP="009004A3">
            <w:pPr>
              <w:pStyle w:val="BodyText"/>
              <w:tabs>
                <w:tab w:val="clear" w:pos="1080"/>
              </w:tabs>
              <w:spacing w:line="233" w:lineRule="auto"/>
              <w:rPr>
                <w:i/>
                <w:iCs/>
                <w:szCs w:val="22"/>
              </w:rPr>
            </w:pPr>
          </w:p>
        </w:tc>
        <w:tc>
          <w:tcPr>
            <w:tcW w:w="1350" w:type="dxa"/>
            <w:tcBorders>
              <w:top w:val="single" w:sz="4" w:space="0" w:color="auto"/>
              <w:left w:val="single" w:sz="4" w:space="0" w:color="auto"/>
              <w:right w:val="single" w:sz="4" w:space="0" w:color="auto"/>
            </w:tcBorders>
          </w:tcPr>
          <w:p w:rsidR="004B5F5C" w:rsidRPr="00663610" w:rsidRDefault="004B5F5C" w:rsidP="00795EE5">
            <w:pPr>
              <w:pStyle w:val="BodyText"/>
              <w:tabs>
                <w:tab w:val="clear" w:pos="1080"/>
              </w:tabs>
              <w:spacing w:line="233" w:lineRule="auto"/>
              <w:jc w:val="right"/>
              <w:rPr>
                <w:szCs w:val="22"/>
                <w:lang w:eastAsia="zh-CN"/>
              </w:rPr>
            </w:pPr>
          </w:p>
          <w:p w:rsidR="004B5F5C" w:rsidRPr="00663610" w:rsidRDefault="00FE2A05" w:rsidP="00587134">
            <w:pPr>
              <w:pStyle w:val="BodyText"/>
              <w:tabs>
                <w:tab w:val="clear" w:pos="1080"/>
              </w:tabs>
              <w:spacing w:line="233" w:lineRule="auto"/>
              <w:jc w:val="right"/>
              <w:rPr>
                <w:szCs w:val="22"/>
                <w:lang w:eastAsia="zh-CN"/>
              </w:rPr>
            </w:pPr>
            <w:r>
              <w:rPr>
                <w:szCs w:val="22"/>
                <w:lang w:eastAsia="zh-CN"/>
              </w:rPr>
              <w:t>380,374</w:t>
            </w:r>
          </w:p>
        </w:tc>
        <w:tc>
          <w:tcPr>
            <w:tcW w:w="1620" w:type="dxa"/>
            <w:tcBorders>
              <w:top w:val="single" w:sz="4" w:space="0" w:color="auto"/>
              <w:left w:val="single" w:sz="4" w:space="0" w:color="auto"/>
              <w:right w:val="single" w:sz="4" w:space="0" w:color="auto"/>
            </w:tcBorders>
          </w:tcPr>
          <w:p w:rsidR="004B5F5C" w:rsidRPr="00663610" w:rsidRDefault="004B5F5C" w:rsidP="00F82BA0">
            <w:pPr>
              <w:pStyle w:val="BodyText"/>
              <w:tabs>
                <w:tab w:val="clear" w:pos="1080"/>
              </w:tabs>
              <w:spacing w:line="233" w:lineRule="auto"/>
              <w:jc w:val="right"/>
              <w:rPr>
                <w:szCs w:val="22"/>
                <w:lang w:eastAsia="zh-CN"/>
              </w:rPr>
            </w:pPr>
          </w:p>
          <w:p w:rsidR="004B5F5C" w:rsidRPr="00663610" w:rsidRDefault="00FE2A05" w:rsidP="00096719">
            <w:pPr>
              <w:pStyle w:val="BodyText"/>
              <w:tabs>
                <w:tab w:val="clear" w:pos="1080"/>
              </w:tabs>
              <w:spacing w:line="233" w:lineRule="auto"/>
              <w:jc w:val="right"/>
              <w:rPr>
                <w:szCs w:val="22"/>
                <w:lang w:eastAsia="zh-CN"/>
              </w:rPr>
            </w:pPr>
            <w:r>
              <w:rPr>
                <w:szCs w:val="22"/>
                <w:lang w:eastAsia="zh-CN"/>
              </w:rPr>
              <w:t>288,995</w:t>
            </w:r>
          </w:p>
        </w:tc>
        <w:tc>
          <w:tcPr>
            <w:tcW w:w="270" w:type="dxa"/>
            <w:tcBorders>
              <w:top w:val="single" w:sz="4" w:space="0" w:color="auto"/>
              <w:left w:val="single" w:sz="4" w:space="0" w:color="auto"/>
            </w:tcBorders>
          </w:tcPr>
          <w:p w:rsidR="004B5F5C" w:rsidRPr="00663610" w:rsidRDefault="004B5F5C" w:rsidP="00795EE5">
            <w:pPr>
              <w:pStyle w:val="BodyText"/>
              <w:tabs>
                <w:tab w:val="clear" w:pos="1080"/>
              </w:tabs>
              <w:spacing w:line="233" w:lineRule="auto"/>
              <w:jc w:val="right"/>
              <w:rPr>
                <w:szCs w:val="22"/>
              </w:rPr>
            </w:pPr>
          </w:p>
        </w:tc>
        <w:tc>
          <w:tcPr>
            <w:tcW w:w="1350" w:type="dxa"/>
            <w:tcBorders>
              <w:top w:val="single" w:sz="4" w:space="0" w:color="auto"/>
              <w:right w:val="single" w:sz="4" w:space="0" w:color="auto"/>
            </w:tcBorders>
          </w:tcPr>
          <w:p w:rsidR="004B5F5C" w:rsidRDefault="004B5F5C" w:rsidP="00F82BA0">
            <w:pPr>
              <w:pStyle w:val="BodyText"/>
              <w:tabs>
                <w:tab w:val="clear" w:pos="1080"/>
              </w:tabs>
              <w:spacing w:line="233" w:lineRule="auto"/>
              <w:jc w:val="right"/>
              <w:rPr>
                <w:szCs w:val="22"/>
                <w:lang w:eastAsia="zh-CN"/>
              </w:rPr>
            </w:pPr>
          </w:p>
          <w:p w:rsidR="00725D9F" w:rsidRPr="00663610" w:rsidRDefault="00FE2A05" w:rsidP="00587134">
            <w:pPr>
              <w:pStyle w:val="BodyText"/>
              <w:tabs>
                <w:tab w:val="clear" w:pos="1080"/>
              </w:tabs>
              <w:spacing w:line="233" w:lineRule="auto"/>
              <w:jc w:val="right"/>
              <w:rPr>
                <w:szCs w:val="22"/>
                <w:lang w:eastAsia="zh-CN"/>
              </w:rPr>
            </w:pPr>
            <w:r>
              <w:rPr>
                <w:szCs w:val="22"/>
                <w:lang w:eastAsia="zh-CN"/>
              </w:rPr>
              <w:t>380,374</w:t>
            </w:r>
          </w:p>
        </w:tc>
        <w:tc>
          <w:tcPr>
            <w:tcW w:w="1620" w:type="dxa"/>
            <w:tcBorders>
              <w:top w:val="single" w:sz="4" w:space="0" w:color="auto"/>
              <w:left w:val="single" w:sz="4" w:space="0" w:color="auto"/>
              <w:right w:val="single" w:sz="4" w:space="0" w:color="auto"/>
            </w:tcBorders>
          </w:tcPr>
          <w:p w:rsidR="00FE2A05" w:rsidRDefault="00FE2A05" w:rsidP="00026BDD">
            <w:pPr>
              <w:pStyle w:val="BodyText"/>
              <w:tabs>
                <w:tab w:val="clear" w:pos="1080"/>
              </w:tabs>
              <w:spacing w:line="233" w:lineRule="auto"/>
              <w:jc w:val="right"/>
              <w:rPr>
                <w:szCs w:val="22"/>
                <w:lang w:eastAsia="zh-CN"/>
              </w:rPr>
            </w:pPr>
          </w:p>
          <w:p w:rsidR="00F73EF0" w:rsidRPr="00663610" w:rsidRDefault="00FE2A05" w:rsidP="00026BDD">
            <w:pPr>
              <w:pStyle w:val="BodyText"/>
              <w:tabs>
                <w:tab w:val="clear" w:pos="1080"/>
              </w:tabs>
              <w:spacing w:line="233" w:lineRule="auto"/>
              <w:jc w:val="right"/>
              <w:rPr>
                <w:szCs w:val="22"/>
                <w:lang w:eastAsia="zh-CN"/>
              </w:rPr>
            </w:pPr>
            <w:r>
              <w:rPr>
                <w:szCs w:val="22"/>
                <w:lang w:eastAsia="zh-CN"/>
              </w:rPr>
              <w:t>288,995</w:t>
            </w:r>
          </w:p>
        </w:tc>
      </w:tr>
      <w:tr w:rsidR="004B5F5C" w:rsidRPr="00663610">
        <w:tc>
          <w:tcPr>
            <w:tcW w:w="2988" w:type="dxa"/>
            <w:tcBorders>
              <w:left w:val="single" w:sz="4" w:space="0" w:color="auto"/>
              <w:bottom w:val="single" w:sz="4" w:space="0" w:color="auto"/>
            </w:tcBorders>
          </w:tcPr>
          <w:p w:rsidR="004B5F5C" w:rsidRPr="00663610" w:rsidRDefault="004B5F5C" w:rsidP="009004A3">
            <w:pPr>
              <w:pStyle w:val="BodyText"/>
              <w:tabs>
                <w:tab w:val="clear" w:pos="1080"/>
              </w:tabs>
              <w:spacing w:line="233" w:lineRule="auto"/>
              <w:rPr>
                <w:i/>
                <w:iCs/>
                <w:szCs w:val="22"/>
              </w:rPr>
            </w:pPr>
          </w:p>
        </w:tc>
        <w:tc>
          <w:tcPr>
            <w:tcW w:w="270" w:type="dxa"/>
            <w:tcBorders>
              <w:bottom w:val="single" w:sz="4" w:space="0" w:color="auto"/>
              <w:right w:val="single" w:sz="4" w:space="0" w:color="auto"/>
            </w:tcBorders>
          </w:tcPr>
          <w:p w:rsidR="004B5F5C" w:rsidRPr="00663610" w:rsidRDefault="004B5F5C" w:rsidP="009004A3">
            <w:pPr>
              <w:pStyle w:val="BodyText"/>
              <w:tabs>
                <w:tab w:val="clear" w:pos="1080"/>
              </w:tabs>
              <w:spacing w:line="233" w:lineRule="auto"/>
              <w:rPr>
                <w:i/>
                <w:iCs/>
                <w:szCs w:val="22"/>
              </w:rPr>
            </w:pPr>
          </w:p>
        </w:tc>
        <w:tc>
          <w:tcPr>
            <w:tcW w:w="1350" w:type="dxa"/>
            <w:tcBorders>
              <w:left w:val="single" w:sz="4" w:space="0" w:color="auto"/>
              <w:bottom w:val="single" w:sz="4" w:space="0" w:color="auto"/>
              <w:right w:val="single" w:sz="4" w:space="0" w:color="auto"/>
            </w:tcBorders>
          </w:tcPr>
          <w:p w:rsidR="004B5F5C" w:rsidRPr="00663610" w:rsidRDefault="004B5F5C" w:rsidP="009004A3">
            <w:pPr>
              <w:pStyle w:val="BodyText"/>
              <w:tabs>
                <w:tab w:val="clear" w:pos="1080"/>
              </w:tabs>
              <w:spacing w:line="233" w:lineRule="auto"/>
              <w:jc w:val="right"/>
              <w:rPr>
                <w:szCs w:val="22"/>
              </w:rPr>
            </w:pPr>
          </w:p>
        </w:tc>
        <w:tc>
          <w:tcPr>
            <w:tcW w:w="1620" w:type="dxa"/>
            <w:tcBorders>
              <w:left w:val="single" w:sz="4" w:space="0" w:color="auto"/>
              <w:bottom w:val="single" w:sz="4" w:space="0" w:color="auto"/>
              <w:right w:val="single" w:sz="4" w:space="0" w:color="auto"/>
            </w:tcBorders>
          </w:tcPr>
          <w:p w:rsidR="004B5F5C" w:rsidRPr="00663610" w:rsidRDefault="004B5F5C" w:rsidP="00F82BA0">
            <w:pPr>
              <w:pStyle w:val="BodyText"/>
              <w:tabs>
                <w:tab w:val="clear" w:pos="1080"/>
              </w:tabs>
              <w:spacing w:line="233" w:lineRule="auto"/>
              <w:jc w:val="right"/>
              <w:rPr>
                <w:sz w:val="16"/>
                <w:szCs w:val="16"/>
              </w:rPr>
            </w:pPr>
          </w:p>
        </w:tc>
        <w:tc>
          <w:tcPr>
            <w:tcW w:w="270" w:type="dxa"/>
            <w:tcBorders>
              <w:left w:val="single" w:sz="4" w:space="0" w:color="auto"/>
              <w:bottom w:val="single" w:sz="4" w:space="0" w:color="auto"/>
            </w:tcBorders>
          </w:tcPr>
          <w:p w:rsidR="004B5F5C" w:rsidRPr="00663610" w:rsidRDefault="004B5F5C" w:rsidP="009004A3">
            <w:pPr>
              <w:pStyle w:val="BodyText"/>
              <w:tabs>
                <w:tab w:val="clear" w:pos="1080"/>
              </w:tabs>
              <w:spacing w:line="233" w:lineRule="auto"/>
              <w:jc w:val="right"/>
              <w:rPr>
                <w:szCs w:val="22"/>
              </w:rPr>
            </w:pPr>
          </w:p>
        </w:tc>
        <w:tc>
          <w:tcPr>
            <w:tcW w:w="1350" w:type="dxa"/>
            <w:tcBorders>
              <w:bottom w:val="single" w:sz="4" w:space="0" w:color="auto"/>
              <w:right w:val="single" w:sz="4" w:space="0" w:color="auto"/>
            </w:tcBorders>
          </w:tcPr>
          <w:p w:rsidR="004B5F5C" w:rsidRPr="00663610" w:rsidRDefault="004B5F5C" w:rsidP="00F82BA0">
            <w:pPr>
              <w:pStyle w:val="BodyText"/>
              <w:tabs>
                <w:tab w:val="clear" w:pos="1080"/>
              </w:tabs>
              <w:spacing w:line="233" w:lineRule="auto"/>
              <w:jc w:val="right"/>
              <w:rPr>
                <w:szCs w:val="22"/>
              </w:rPr>
            </w:pPr>
          </w:p>
        </w:tc>
        <w:tc>
          <w:tcPr>
            <w:tcW w:w="1620" w:type="dxa"/>
            <w:tcBorders>
              <w:left w:val="single" w:sz="4" w:space="0" w:color="auto"/>
              <w:bottom w:val="single" w:sz="4" w:space="0" w:color="auto"/>
              <w:right w:val="single" w:sz="4" w:space="0" w:color="auto"/>
            </w:tcBorders>
          </w:tcPr>
          <w:p w:rsidR="004B5F5C" w:rsidRPr="00663610" w:rsidRDefault="004B5F5C" w:rsidP="00F82BA0">
            <w:pPr>
              <w:pStyle w:val="BodyText"/>
              <w:tabs>
                <w:tab w:val="clear" w:pos="1080"/>
              </w:tabs>
              <w:spacing w:line="233" w:lineRule="auto"/>
              <w:jc w:val="right"/>
              <w:rPr>
                <w:sz w:val="16"/>
                <w:szCs w:val="16"/>
              </w:rPr>
            </w:pPr>
          </w:p>
        </w:tc>
      </w:tr>
      <w:tr w:rsidR="004B5F5C" w:rsidRPr="00663610">
        <w:tc>
          <w:tcPr>
            <w:tcW w:w="2988" w:type="dxa"/>
            <w:tcBorders>
              <w:top w:val="single" w:sz="4" w:space="0" w:color="auto"/>
              <w:left w:val="single" w:sz="4" w:space="0" w:color="auto"/>
            </w:tcBorders>
          </w:tcPr>
          <w:p w:rsidR="004B5F5C" w:rsidRPr="00663610" w:rsidRDefault="004B5F5C">
            <w:pPr>
              <w:pStyle w:val="BodyText"/>
              <w:tabs>
                <w:tab w:val="clear" w:pos="1080"/>
              </w:tabs>
              <w:spacing w:line="233" w:lineRule="auto"/>
              <w:rPr>
                <w:i/>
                <w:iCs/>
                <w:szCs w:val="22"/>
              </w:rPr>
            </w:pPr>
            <w:r w:rsidRPr="00663610">
              <w:rPr>
                <w:szCs w:val="22"/>
              </w:rPr>
              <w:t>Effect of ESOS (’000)</w:t>
            </w:r>
          </w:p>
        </w:tc>
        <w:tc>
          <w:tcPr>
            <w:tcW w:w="270" w:type="dxa"/>
            <w:tcBorders>
              <w:top w:val="single" w:sz="4" w:space="0" w:color="auto"/>
              <w:right w:val="single" w:sz="4" w:space="0" w:color="auto"/>
            </w:tcBorders>
          </w:tcPr>
          <w:p w:rsidR="004B5F5C" w:rsidRPr="00663610" w:rsidRDefault="004B5F5C" w:rsidP="009004A3">
            <w:pPr>
              <w:pStyle w:val="BodyText"/>
              <w:tabs>
                <w:tab w:val="clear" w:pos="1080"/>
              </w:tabs>
              <w:spacing w:line="233" w:lineRule="auto"/>
              <w:rPr>
                <w:i/>
                <w:iCs/>
                <w:szCs w:val="22"/>
              </w:rPr>
            </w:pPr>
          </w:p>
        </w:tc>
        <w:tc>
          <w:tcPr>
            <w:tcW w:w="1350" w:type="dxa"/>
            <w:tcBorders>
              <w:top w:val="single" w:sz="4" w:space="0" w:color="auto"/>
              <w:left w:val="single" w:sz="4" w:space="0" w:color="auto"/>
              <w:right w:val="single" w:sz="4" w:space="0" w:color="auto"/>
            </w:tcBorders>
          </w:tcPr>
          <w:p w:rsidR="004B5F5C" w:rsidRPr="00663610" w:rsidRDefault="00FE2A05" w:rsidP="00264F5D">
            <w:pPr>
              <w:pStyle w:val="BodyText"/>
              <w:tabs>
                <w:tab w:val="clear" w:pos="720"/>
                <w:tab w:val="clear" w:pos="1080"/>
                <w:tab w:val="left" w:pos="1134"/>
              </w:tabs>
              <w:spacing w:line="233" w:lineRule="auto"/>
              <w:jc w:val="right"/>
              <w:rPr>
                <w:szCs w:val="22"/>
                <w:lang w:eastAsia="zh-CN"/>
              </w:rPr>
            </w:pPr>
            <w:r>
              <w:rPr>
                <w:szCs w:val="22"/>
                <w:lang w:eastAsia="zh-CN"/>
              </w:rPr>
              <w:t>44</w:t>
            </w:r>
            <w:r w:rsidR="00264F5D">
              <w:rPr>
                <w:rFonts w:hint="eastAsia"/>
                <w:szCs w:val="22"/>
                <w:lang w:eastAsia="zh-CN"/>
              </w:rPr>
              <w:t>6</w:t>
            </w:r>
          </w:p>
        </w:tc>
        <w:tc>
          <w:tcPr>
            <w:tcW w:w="1620" w:type="dxa"/>
            <w:tcBorders>
              <w:top w:val="single" w:sz="4" w:space="0" w:color="auto"/>
              <w:left w:val="single" w:sz="4" w:space="0" w:color="auto"/>
              <w:right w:val="single" w:sz="4" w:space="0" w:color="auto"/>
            </w:tcBorders>
          </w:tcPr>
          <w:p w:rsidR="004B5F5C" w:rsidRPr="00663610" w:rsidRDefault="00FE2A05" w:rsidP="00A4603D">
            <w:pPr>
              <w:pStyle w:val="BodyText"/>
              <w:tabs>
                <w:tab w:val="clear" w:pos="1080"/>
              </w:tabs>
              <w:spacing w:line="233" w:lineRule="auto"/>
              <w:jc w:val="right"/>
              <w:rPr>
                <w:szCs w:val="22"/>
                <w:lang w:eastAsia="zh-CN"/>
              </w:rPr>
            </w:pPr>
            <w:r>
              <w:rPr>
                <w:szCs w:val="22"/>
                <w:lang w:eastAsia="zh-CN"/>
              </w:rPr>
              <w:t>13,653</w:t>
            </w:r>
          </w:p>
        </w:tc>
        <w:tc>
          <w:tcPr>
            <w:tcW w:w="270" w:type="dxa"/>
            <w:tcBorders>
              <w:top w:val="single" w:sz="4" w:space="0" w:color="auto"/>
              <w:left w:val="single" w:sz="4" w:space="0" w:color="auto"/>
            </w:tcBorders>
          </w:tcPr>
          <w:p w:rsidR="004B5F5C" w:rsidRPr="00663610" w:rsidRDefault="004B5F5C" w:rsidP="009004A3">
            <w:pPr>
              <w:pStyle w:val="BodyText"/>
              <w:tabs>
                <w:tab w:val="clear" w:pos="1080"/>
              </w:tabs>
              <w:spacing w:line="233" w:lineRule="auto"/>
              <w:jc w:val="right"/>
              <w:rPr>
                <w:szCs w:val="22"/>
              </w:rPr>
            </w:pPr>
          </w:p>
        </w:tc>
        <w:tc>
          <w:tcPr>
            <w:tcW w:w="1350" w:type="dxa"/>
            <w:tcBorders>
              <w:top w:val="single" w:sz="4" w:space="0" w:color="auto"/>
              <w:right w:val="single" w:sz="4" w:space="0" w:color="auto"/>
            </w:tcBorders>
          </w:tcPr>
          <w:p w:rsidR="004B5F5C" w:rsidRPr="00663610" w:rsidRDefault="00FE2A05" w:rsidP="00F82BA0">
            <w:pPr>
              <w:pStyle w:val="BodyText"/>
              <w:tabs>
                <w:tab w:val="clear" w:pos="720"/>
                <w:tab w:val="clear" w:pos="1080"/>
                <w:tab w:val="left" w:pos="1134"/>
              </w:tabs>
              <w:spacing w:line="233" w:lineRule="auto"/>
              <w:jc w:val="right"/>
              <w:rPr>
                <w:szCs w:val="22"/>
                <w:lang w:eastAsia="zh-CN"/>
              </w:rPr>
            </w:pPr>
            <w:r>
              <w:rPr>
                <w:szCs w:val="22"/>
                <w:lang w:eastAsia="zh-CN"/>
              </w:rPr>
              <w:t>44</w:t>
            </w:r>
            <w:r w:rsidR="00264F5D">
              <w:rPr>
                <w:rFonts w:hint="eastAsia"/>
                <w:szCs w:val="22"/>
                <w:lang w:eastAsia="zh-CN"/>
              </w:rPr>
              <w:t>6</w:t>
            </w:r>
          </w:p>
        </w:tc>
        <w:tc>
          <w:tcPr>
            <w:tcW w:w="1620" w:type="dxa"/>
            <w:tcBorders>
              <w:top w:val="single" w:sz="4" w:space="0" w:color="auto"/>
              <w:left w:val="single" w:sz="4" w:space="0" w:color="auto"/>
              <w:right w:val="single" w:sz="4" w:space="0" w:color="auto"/>
            </w:tcBorders>
          </w:tcPr>
          <w:p w:rsidR="004B5F5C" w:rsidRPr="00663610" w:rsidRDefault="00FE2A05" w:rsidP="00F82BA0">
            <w:pPr>
              <w:pStyle w:val="BodyText"/>
              <w:tabs>
                <w:tab w:val="clear" w:pos="1080"/>
              </w:tabs>
              <w:spacing w:line="233" w:lineRule="auto"/>
              <w:jc w:val="right"/>
              <w:rPr>
                <w:szCs w:val="22"/>
                <w:lang w:eastAsia="zh-CN"/>
              </w:rPr>
            </w:pPr>
            <w:r>
              <w:rPr>
                <w:szCs w:val="22"/>
                <w:lang w:eastAsia="zh-CN"/>
              </w:rPr>
              <w:t>13,653</w:t>
            </w:r>
          </w:p>
        </w:tc>
      </w:tr>
      <w:tr w:rsidR="004B5F5C" w:rsidRPr="00663610">
        <w:tc>
          <w:tcPr>
            <w:tcW w:w="2988" w:type="dxa"/>
            <w:tcBorders>
              <w:left w:val="single" w:sz="4" w:space="0" w:color="auto"/>
              <w:bottom w:val="single" w:sz="4" w:space="0" w:color="auto"/>
            </w:tcBorders>
          </w:tcPr>
          <w:p w:rsidR="004B5F5C" w:rsidRPr="00663610" w:rsidRDefault="004B5F5C" w:rsidP="009004A3">
            <w:pPr>
              <w:pStyle w:val="BodyText"/>
              <w:tabs>
                <w:tab w:val="clear" w:pos="1080"/>
              </w:tabs>
              <w:spacing w:line="233" w:lineRule="auto"/>
              <w:rPr>
                <w:i/>
                <w:iCs/>
                <w:szCs w:val="22"/>
              </w:rPr>
            </w:pPr>
          </w:p>
        </w:tc>
        <w:tc>
          <w:tcPr>
            <w:tcW w:w="270" w:type="dxa"/>
            <w:tcBorders>
              <w:bottom w:val="single" w:sz="4" w:space="0" w:color="auto"/>
              <w:right w:val="single" w:sz="4" w:space="0" w:color="auto"/>
            </w:tcBorders>
          </w:tcPr>
          <w:p w:rsidR="004B5F5C" w:rsidRPr="00663610" w:rsidRDefault="004B5F5C" w:rsidP="009004A3">
            <w:pPr>
              <w:pStyle w:val="BodyText"/>
              <w:tabs>
                <w:tab w:val="clear" w:pos="1080"/>
              </w:tabs>
              <w:spacing w:line="233" w:lineRule="auto"/>
              <w:rPr>
                <w:i/>
                <w:iCs/>
                <w:szCs w:val="22"/>
              </w:rPr>
            </w:pPr>
          </w:p>
        </w:tc>
        <w:tc>
          <w:tcPr>
            <w:tcW w:w="1350" w:type="dxa"/>
            <w:tcBorders>
              <w:left w:val="single" w:sz="4" w:space="0" w:color="auto"/>
              <w:bottom w:val="single" w:sz="4" w:space="0" w:color="auto"/>
              <w:right w:val="single" w:sz="4" w:space="0" w:color="auto"/>
            </w:tcBorders>
          </w:tcPr>
          <w:p w:rsidR="004B5F5C" w:rsidRPr="00663610" w:rsidRDefault="004B5F5C" w:rsidP="009004A3">
            <w:pPr>
              <w:pStyle w:val="BodyText"/>
              <w:tabs>
                <w:tab w:val="clear" w:pos="1080"/>
              </w:tabs>
              <w:spacing w:line="233" w:lineRule="auto"/>
              <w:jc w:val="right"/>
              <w:rPr>
                <w:szCs w:val="22"/>
              </w:rPr>
            </w:pPr>
          </w:p>
        </w:tc>
        <w:tc>
          <w:tcPr>
            <w:tcW w:w="1620" w:type="dxa"/>
            <w:tcBorders>
              <w:left w:val="single" w:sz="4" w:space="0" w:color="auto"/>
              <w:bottom w:val="single" w:sz="4" w:space="0" w:color="auto"/>
              <w:right w:val="single" w:sz="4" w:space="0" w:color="auto"/>
            </w:tcBorders>
          </w:tcPr>
          <w:p w:rsidR="004B5F5C" w:rsidRPr="00663610" w:rsidRDefault="004B5F5C" w:rsidP="00F82BA0">
            <w:pPr>
              <w:pStyle w:val="BodyText"/>
              <w:tabs>
                <w:tab w:val="clear" w:pos="1080"/>
              </w:tabs>
              <w:spacing w:line="233" w:lineRule="auto"/>
              <w:jc w:val="right"/>
              <w:rPr>
                <w:sz w:val="16"/>
                <w:szCs w:val="16"/>
              </w:rPr>
            </w:pPr>
          </w:p>
        </w:tc>
        <w:tc>
          <w:tcPr>
            <w:tcW w:w="270" w:type="dxa"/>
            <w:tcBorders>
              <w:left w:val="single" w:sz="4" w:space="0" w:color="auto"/>
              <w:bottom w:val="single" w:sz="4" w:space="0" w:color="auto"/>
            </w:tcBorders>
          </w:tcPr>
          <w:p w:rsidR="004B5F5C" w:rsidRPr="00663610" w:rsidRDefault="004B5F5C" w:rsidP="009004A3">
            <w:pPr>
              <w:pStyle w:val="BodyText"/>
              <w:tabs>
                <w:tab w:val="clear" w:pos="1080"/>
              </w:tabs>
              <w:spacing w:line="233" w:lineRule="auto"/>
              <w:jc w:val="right"/>
              <w:rPr>
                <w:szCs w:val="22"/>
              </w:rPr>
            </w:pPr>
          </w:p>
        </w:tc>
        <w:tc>
          <w:tcPr>
            <w:tcW w:w="1350" w:type="dxa"/>
            <w:tcBorders>
              <w:bottom w:val="single" w:sz="4" w:space="0" w:color="auto"/>
              <w:right w:val="single" w:sz="4" w:space="0" w:color="auto"/>
            </w:tcBorders>
          </w:tcPr>
          <w:p w:rsidR="004B5F5C" w:rsidRPr="00663610" w:rsidRDefault="004B5F5C" w:rsidP="00F82BA0">
            <w:pPr>
              <w:pStyle w:val="BodyText"/>
              <w:tabs>
                <w:tab w:val="clear" w:pos="1080"/>
              </w:tabs>
              <w:spacing w:line="233" w:lineRule="auto"/>
              <w:jc w:val="right"/>
              <w:rPr>
                <w:szCs w:val="22"/>
              </w:rPr>
            </w:pPr>
          </w:p>
        </w:tc>
        <w:tc>
          <w:tcPr>
            <w:tcW w:w="1620" w:type="dxa"/>
            <w:tcBorders>
              <w:left w:val="single" w:sz="4" w:space="0" w:color="auto"/>
              <w:bottom w:val="single" w:sz="4" w:space="0" w:color="auto"/>
              <w:right w:val="single" w:sz="4" w:space="0" w:color="auto"/>
            </w:tcBorders>
          </w:tcPr>
          <w:p w:rsidR="004B5F5C" w:rsidRPr="00663610" w:rsidRDefault="004B5F5C" w:rsidP="00F82BA0">
            <w:pPr>
              <w:pStyle w:val="BodyText"/>
              <w:tabs>
                <w:tab w:val="clear" w:pos="1080"/>
              </w:tabs>
              <w:spacing w:line="233" w:lineRule="auto"/>
              <w:jc w:val="right"/>
              <w:rPr>
                <w:sz w:val="16"/>
                <w:szCs w:val="16"/>
              </w:rPr>
            </w:pPr>
          </w:p>
        </w:tc>
      </w:tr>
      <w:tr w:rsidR="004B5F5C" w:rsidRPr="00663610">
        <w:tc>
          <w:tcPr>
            <w:tcW w:w="2988" w:type="dxa"/>
            <w:tcBorders>
              <w:top w:val="single" w:sz="4" w:space="0" w:color="auto"/>
              <w:left w:val="single" w:sz="4" w:space="0" w:color="auto"/>
            </w:tcBorders>
          </w:tcPr>
          <w:p w:rsidR="004B5F5C" w:rsidRPr="00663610" w:rsidRDefault="004B5F5C" w:rsidP="009004A3">
            <w:pPr>
              <w:pStyle w:val="BodyText"/>
              <w:tabs>
                <w:tab w:val="clear" w:pos="1080"/>
              </w:tabs>
              <w:spacing w:line="233" w:lineRule="auto"/>
              <w:rPr>
                <w:i/>
                <w:iCs/>
                <w:szCs w:val="22"/>
              </w:rPr>
            </w:pPr>
            <w:r w:rsidRPr="00663610">
              <w:rPr>
                <w:szCs w:val="22"/>
              </w:rPr>
              <w:t>Adjusted weighted average number of ordinary shares in issue and issuable (’000)</w:t>
            </w:r>
            <w:r w:rsidRPr="00663610" w:rsidDel="009407CF">
              <w:rPr>
                <w:szCs w:val="22"/>
              </w:rPr>
              <w:t xml:space="preserve"> </w:t>
            </w:r>
          </w:p>
        </w:tc>
        <w:tc>
          <w:tcPr>
            <w:tcW w:w="270" w:type="dxa"/>
            <w:tcBorders>
              <w:top w:val="single" w:sz="4" w:space="0" w:color="auto"/>
              <w:right w:val="single" w:sz="4" w:space="0" w:color="auto"/>
            </w:tcBorders>
          </w:tcPr>
          <w:p w:rsidR="004B5F5C" w:rsidRPr="00663610" w:rsidRDefault="004B5F5C" w:rsidP="009004A3">
            <w:pPr>
              <w:pStyle w:val="BodyText"/>
              <w:tabs>
                <w:tab w:val="clear" w:pos="1080"/>
              </w:tabs>
              <w:spacing w:line="233" w:lineRule="auto"/>
              <w:rPr>
                <w:i/>
                <w:iCs/>
                <w:szCs w:val="22"/>
              </w:rPr>
            </w:pPr>
          </w:p>
        </w:tc>
        <w:tc>
          <w:tcPr>
            <w:tcW w:w="1350" w:type="dxa"/>
            <w:tcBorders>
              <w:top w:val="single" w:sz="4" w:space="0" w:color="auto"/>
              <w:left w:val="single" w:sz="4" w:space="0" w:color="auto"/>
              <w:right w:val="single" w:sz="4" w:space="0" w:color="auto"/>
            </w:tcBorders>
          </w:tcPr>
          <w:p w:rsidR="00FE2A05" w:rsidRDefault="00FE2A05" w:rsidP="00EC34B0">
            <w:pPr>
              <w:pStyle w:val="BodyText"/>
              <w:tabs>
                <w:tab w:val="clear" w:pos="1080"/>
              </w:tabs>
              <w:spacing w:line="233" w:lineRule="auto"/>
              <w:jc w:val="right"/>
              <w:rPr>
                <w:szCs w:val="22"/>
                <w:lang w:eastAsia="zh-CN"/>
              </w:rPr>
            </w:pPr>
          </w:p>
          <w:p w:rsidR="00FE2A05" w:rsidRDefault="00FE2A05" w:rsidP="00EC34B0">
            <w:pPr>
              <w:pStyle w:val="BodyText"/>
              <w:tabs>
                <w:tab w:val="clear" w:pos="1080"/>
              </w:tabs>
              <w:spacing w:line="233" w:lineRule="auto"/>
              <w:jc w:val="right"/>
              <w:rPr>
                <w:szCs w:val="22"/>
                <w:lang w:eastAsia="zh-CN"/>
              </w:rPr>
            </w:pPr>
          </w:p>
          <w:p w:rsidR="00587134" w:rsidRPr="00663610" w:rsidRDefault="00FE2A05" w:rsidP="00264F5D">
            <w:pPr>
              <w:pStyle w:val="BodyText"/>
              <w:tabs>
                <w:tab w:val="clear" w:pos="1080"/>
              </w:tabs>
              <w:spacing w:line="233" w:lineRule="auto"/>
              <w:jc w:val="right"/>
              <w:rPr>
                <w:szCs w:val="22"/>
                <w:lang w:eastAsia="zh-CN"/>
              </w:rPr>
            </w:pPr>
            <w:r>
              <w:rPr>
                <w:szCs w:val="22"/>
                <w:lang w:eastAsia="zh-CN"/>
              </w:rPr>
              <w:t>380,8</w:t>
            </w:r>
            <w:r w:rsidR="00264F5D">
              <w:rPr>
                <w:rFonts w:hint="eastAsia"/>
                <w:szCs w:val="22"/>
                <w:lang w:eastAsia="zh-CN"/>
              </w:rPr>
              <w:t>20</w:t>
            </w:r>
          </w:p>
        </w:tc>
        <w:tc>
          <w:tcPr>
            <w:tcW w:w="1620" w:type="dxa"/>
            <w:tcBorders>
              <w:top w:val="single" w:sz="4" w:space="0" w:color="auto"/>
              <w:left w:val="single" w:sz="4" w:space="0" w:color="auto"/>
              <w:right w:val="single" w:sz="4" w:space="0" w:color="auto"/>
            </w:tcBorders>
          </w:tcPr>
          <w:p w:rsidR="004B5F5C" w:rsidRDefault="004B5F5C" w:rsidP="00F82BA0">
            <w:pPr>
              <w:pStyle w:val="BodyText"/>
              <w:tabs>
                <w:tab w:val="clear" w:pos="1080"/>
              </w:tabs>
              <w:spacing w:line="233" w:lineRule="auto"/>
              <w:jc w:val="right"/>
              <w:rPr>
                <w:szCs w:val="22"/>
                <w:lang w:eastAsia="zh-CN"/>
              </w:rPr>
            </w:pPr>
          </w:p>
          <w:p w:rsidR="00F73EF0" w:rsidRDefault="00F73EF0" w:rsidP="00F82BA0">
            <w:pPr>
              <w:pStyle w:val="BodyText"/>
              <w:tabs>
                <w:tab w:val="clear" w:pos="1080"/>
              </w:tabs>
              <w:spacing w:line="233" w:lineRule="auto"/>
              <w:jc w:val="right"/>
              <w:rPr>
                <w:szCs w:val="22"/>
                <w:lang w:eastAsia="zh-CN"/>
              </w:rPr>
            </w:pPr>
          </w:p>
          <w:p w:rsidR="00F73EF0" w:rsidRPr="00663610" w:rsidRDefault="00FE2A05" w:rsidP="00FE2A05">
            <w:pPr>
              <w:pStyle w:val="BodyText"/>
              <w:tabs>
                <w:tab w:val="clear" w:pos="1080"/>
              </w:tabs>
              <w:spacing w:line="233" w:lineRule="auto"/>
              <w:jc w:val="right"/>
              <w:rPr>
                <w:szCs w:val="22"/>
                <w:lang w:eastAsia="zh-CN"/>
              </w:rPr>
            </w:pPr>
            <w:r>
              <w:rPr>
                <w:szCs w:val="22"/>
                <w:lang w:eastAsia="zh-CN"/>
              </w:rPr>
              <w:t>302</w:t>
            </w:r>
            <w:r w:rsidR="00F73EF0">
              <w:rPr>
                <w:szCs w:val="22"/>
                <w:lang w:eastAsia="zh-CN"/>
              </w:rPr>
              <w:t>,</w:t>
            </w:r>
            <w:r>
              <w:rPr>
                <w:szCs w:val="22"/>
                <w:lang w:eastAsia="zh-CN"/>
              </w:rPr>
              <w:t>64</w:t>
            </w:r>
            <w:r w:rsidR="00F73EF0">
              <w:rPr>
                <w:szCs w:val="22"/>
                <w:lang w:eastAsia="zh-CN"/>
              </w:rPr>
              <w:t>8</w:t>
            </w:r>
          </w:p>
        </w:tc>
        <w:tc>
          <w:tcPr>
            <w:tcW w:w="270" w:type="dxa"/>
            <w:tcBorders>
              <w:top w:val="single" w:sz="4" w:space="0" w:color="auto"/>
              <w:left w:val="single" w:sz="4" w:space="0" w:color="auto"/>
            </w:tcBorders>
          </w:tcPr>
          <w:p w:rsidR="004B5F5C" w:rsidRPr="00663610" w:rsidRDefault="004B5F5C" w:rsidP="009004A3">
            <w:pPr>
              <w:pStyle w:val="BodyText"/>
              <w:tabs>
                <w:tab w:val="clear" w:pos="1080"/>
              </w:tabs>
              <w:spacing w:line="233" w:lineRule="auto"/>
              <w:jc w:val="right"/>
              <w:rPr>
                <w:szCs w:val="22"/>
              </w:rPr>
            </w:pPr>
          </w:p>
        </w:tc>
        <w:tc>
          <w:tcPr>
            <w:tcW w:w="1350" w:type="dxa"/>
            <w:tcBorders>
              <w:top w:val="single" w:sz="4" w:space="0" w:color="auto"/>
              <w:right w:val="single" w:sz="4" w:space="0" w:color="auto"/>
            </w:tcBorders>
          </w:tcPr>
          <w:p w:rsidR="004B5F5C" w:rsidRPr="00663610" w:rsidRDefault="004B5F5C" w:rsidP="00F82BA0">
            <w:pPr>
              <w:pStyle w:val="BodyText"/>
              <w:tabs>
                <w:tab w:val="clear" w:pos="1080"/>
              </w:tabs>
              <w:spacing w:line="233" w:lineRule="auto"/>
              <w:jc w:val="right"/>
              <w:rPr>
                <w:szCs w:val="22"/>
                <w:lang w:eastAsia="zh-CN"/>
              </w:rPr>
            </w:pPr>
          </w:p>
          <w:p w:rsidR="004B5F5C" w:rsidRPr="00663610" w:rsidRDefault="004B5F5C" w:rsidP="00F82BA0">
            <w:pPr>
              <w:pStyle w:val="BodyText"/>
              <w:tabs>
                <w:tab w:val="clear" w:pos="1080"/>
              </w:tabs>
              <w:spacing w:line="233" w:lineRule="auto"/>
              <w:jc w:val="right"/>
              <w:rPr>
                <w:szCs w:val="22"/>
                <w:lang w:eastAsia="zh-CN"/>
              </w:rPr>
            </w:pPr>
          </w:p>
          <w:p w:rsidR="004B5F5C" w:rsidRPr="00663610" w:rsidRDefault="00FE2A05" w:rsidP="00264F5D">
            <w:pPr>
              <w:pStyle w:val="BodyText"/>
              <w:tabs>
                <w:tab w:val="clear" w:pos="1080"/>
              </w:tabs>
              <w:spacing w:line="233" w:lineRule="auto"/>
              <w:jc w:val="right"/>
              <w:rPr>
                <w:szCs w:val="22"/>
                <w:lang w:eastAsia="zh-CN"/>
              </w:rPr>
            </w:pPr>
            <w:r>
              <w:rPr>
                <w:szCs w:val="22"/>
                <w:lang w:eastAsia="zh-CN"/>
              </w:rPr>
              <w:t>380,8</w:t>
            </w:r>
            <w:r w:rsidR="00264F5D">
              <w:rPr>
                <w:rFonts w:hint="eastAsia"/>
                <w:szCs w:val="22"/>
                <w:lang w:eastAsia="zh-CN"/>
              </w:rPr>
              <w:t>20</w:t>
            </w:r>
          </w:p>
        </w:tc>
        <w:tc>
          <w:tcPr>
            <w:tcW w:w="1620" w:type="dxa"/>
            <w:tcBorders>
              <w:top w:val="single" w:sz="4" w:space="0" w:color="auto"/>
              <w:left w:val="single" w:sz="4" w:space="0" w:color="auto"/>
              <w:right w:val="single" w:sz="4" w:space="0" w:color="auto"/>
            </w:tcBorders>
          </w:tcPr>
          <w:p w:rsidR="004B5F5C" w:rsidRDefault="004B5F5C" w:rsidP="00A4603D">
            <w:pPr>
              <w:pStyle w:val="BodyText"/>
              <w:tabs>
                <w:tab w:val="clear" w:pos="1080"/>
              </w:tabs>
              <w:spacing w:line="233" w:lineRule="auto"/>
              <w:jc w:val="right"/>
              <w:rPr>
                <w:szCs w:val="22"/>
                <w:lang w:eastAsia="zh-CN"/>
              </w:rPr>
            </w:pPr>
          </w:p>
          <w:p w:rsidR="00F73EF0" w:rsidRDefault="00F73EF0" w:rsidP="00A4603D">
            <w:pPr>
              <w:pStyle w:val="BodyText"/>
              <w:tabs>
                <w:tab w:val="clear" w:pos="1080"/>
              </w:tabs>
              <w:spacing w:line="233" w:lineRule="auto"/>
              <w:jc w:val="right"/>
              <w:rPr>
                <w:szCs w:val="22"/>
                <w:lang w:eastAsia="zh-CN"/>
              </w:rPr>
            </w:pPr>
          </w:p>
          <w:p w:rsidR="00F73EF0" w:rsidRPr="00663610" w:rsidRDefault="00FE2A05" w:rsidP="00A4603D">
            <w:pPr>
              <w:pStyle w:val="BodyText"/>
              <w:tabs>
                <w:tab w:val="clear" w:pos="1080"/>
              </w:tabs>
              <w:spacing w:line="233" w:lineRule="auto"/>
              <w:jc w:val="right"/>
              <w:rPr>
                <w:szCs w:val="22"/>
                <w:lang w:eastAsia="zh-CN"/>
              </w:rPr>
            </w:pPr>
            <w:r>
              <w:rPr>
                <w:szCs w:val="22"/>
                <w:lang w:eastAsia="zh-CN"/>
              </w:rPr>
              <w:t>302,648</w:t>
            </w:r>
          </w:p>
        </w:tc>
      </w:tr>
      <w:tr w:rsidR="004B5F5C" w:rsidRPr="00663610">
        <w:tc>
          <w:tcPr>
            <w:tcW w:w="2988" w:type="dxa"/>
            <w:tcBorders>
              <w:left w:val="single" w:sz="4" w:space="0" w:color="auto"/>
              <w:bottom w:val="single" w:sz="4" w:space="0" w:color="auto"/>
            </w:tcBorders>
          </w:tcPr>
          <w:p w:rsidR="004B5F5C" w:rsidRPr="00663610" w:rsidRDefault="004B5F5C" w:rsidP="009004A3">
            <w:pPr>
              <w:pStyle w:val="BodyText"/>
              <w:tabs>
                <w:tab w:val="clear" w:pos="1080"/>
              </w:tabs>
              <w:spacing w:line="233" w:lineRule="auto"/>
              <w:rPr>
                <w:i/>
                <w:iCs/>
                <w:szCs w:val="22"/>
              </w:rPr>
            </w:pPr>
          </w:p>
        </w:tc>
        <w:tc>
          <w:tcPr>
            <w:tcW w:w="270" w:type="dxa"/>
            <w:tcBorders>
              <w:bottom w:val="single" w:sz="4" w:space="0" w:color="auto"/>
              <w:right w:val="single" w:sz="4" w:space="0" w:color="auto"/>
            </w:tcBorders>
          </w:tcPr>
          <w:p w:rsidR="004B5F5C" w:rsidRPr="00663610" w:rsidRDefault="004B5F5C" w:rsidP="009004A3">
            <w:pPr>
              <w:pStyle w:val="BodyText"/>
              <w:tabs>
                <w:tab w:val="clear" w:pos="1080"/>
              </w:tabs>
              <w:spacing w:line="233" w:lineRule="auto"/>
              <w:rPr>
                <w:i/>
                <w:iCs/>
                <w:szCs w:val="22"/>
              </w:rPr>
            </w:pPr>
          </w:p>
        </w:tc>
        <w:tc>
          <w:tcPr>
            <w:tcW w:w="1350" w:type="dxa"/>
            <w:tcBorders>
              <w:left w:val="single" w:sz="4" w:space="0" w:color="auto"/>
              <w:bottom w:val="single" w:sz="4" w:space="0" w:color="auto"/>
              <w:right w:val="single" w:sz="4" w:space="0" w:color="auto"/>
            </w:tcBorders>
          </w:tcPr>
          <w:p w:rsidR="004B5F5C" w:rsidRPr="00663610" w:rsidRDefault="004B5F5C" w:rsidP="009004A3">
            <w:pPr>
              <w:pStyle w:val="BodyText"/>
              <w:tabs>
                <w:tab w:val="clear" w:pos="1080"/>
              </w:tabs>
              <w:spacing w:line="233" w:lineRule="auto"/>
              <w:jc w:val="right"/>
              <w:rPr>
                <w:szCs w:val="22"/>
              </w:rPr>
            </w:pPr>
          </w:p>
        </w:tc>
        <w:tc>
          <w:tcPr>
            <w:tcW w:w="1620" w:type="dxa"/>
            <w:tcBorders>
              <w:left w:val="single" w:sz="4" w:space="0" w:color="auto"/>
              <w:bottom w:val="single" w:sz="4" w:space="0" w:color="auto"/>
              <w:right w:val="single" w:sz="4" w:space="0" w:color="auto"/>
            </w:tcBorders>
          </w:tcPr>
          <w:p w:rsidR="004B5F5C" w:rsidRPr="00663610" w:rsidRDefault="004B5F5C" w:rsidP="00F82BA0">
            <w:pPr>
              <w:pStyle w:val="BodyText"/>
              <w:tabs>
                <w:tab w:val="clear" w:pos="1080"/>
              </w:tabs>
              <w:spacing w:line="233" w:lineRule="auto"/>
              <w:jc w:val="right"/>
              <w:rPr>
                <w:szCs w:val="22"/>
              </w:rPr>
            </w:pPr>
          </w:p>
        </w:tc>
        <w:tc>
          <w:tcPr>
            <w:tcW w:w="270" w:type="dxa"/>
            <w:tcBorders>
              <w:left w:val="single" w:sz="4" w:space="0" w:color="auto"/>
              <w:bottom w:val="single" w:sz="4" w:space="0" w:color="auto"/>
            </w:tcBorders>
          </w:tcPr>
          <w:p w:rsidR="004B5F5C" w:rsidRPr="00663610" w:rsidRDefault="004B5F5C" w:rsidP="009004A3">
            <w:pPr>
              <w:pStyle w:val="BodyText"/>
              <w:tabs>
                <w:tab w:val="clear" w:pos="1080"/>
              </w:tabs>
              <w:spacing w:line="233" w:lineRule="auto"/>
              <w:jc w:val="right"/>
              <w:rPr>
                <w:szCs w:val="22"/>
              </w:rPr>
            </w:pPr>
          </w:p>
        </w:tc>
        <w:tc>
          <w:tcPr>
            <w:tcW w:w="1350" w:type="dxa"/>
            <w:tcBorders>
              <w:bottom w:val="single" w:sz="4" w:space="0" w:color="auto"/>
              <w:right w:val="single" w:sz="4" w:space="0" w:color="auto"/>
            </w:tcBorders>
          </w:tcPr>
          <w:p w:rsidR="004B5F5C" w:rsidRPr="00663610" w:rsidRDefault="004B5F5C" w:rsidP="00F82BA0">
            <w:pPr>
              <w:pStyle w:val="BodyText"/>
              <w:tabs>
                <w:tab w:val="clear" w:pos="1080"/>
              </w:tabs>
              <w:spacing w:line="233" w:lineRule="auto"/>
              <w:jc w:val="right"/>
              <w:rPr>
                <w:szCs w:val="22"/>
              </w:rPr>
            </w:pPr>
          </w:p>
        </w:tc>
        <w:tc>
          <w:tcPr>
            <w:tcW w:w="1620" w:type="dxa"/>
            <w:tcBorders>
              <w:left w:val="single" w:sz="4" w:space="0" w:color="auto"/>
              <w:bottom w:val="single" w:sz="4" w:space="0" w:color="auto"/>
              <w:right w:val="single" w:sz="4" w:space="0" w:color="auto"/>
            </w:tcBorders>
          </w:tcPr>
          <w:p w:rsidR="004B5F5C" w:rsidRPr="00663610" w:rsidRDefault="004B5F5C" w:rsidP="00F82BA0">
            <w:pPr>
              <w:pStyle w:val="BodyText"/>
              <w:tabs>
                <w:tab w:val="clear" w:pos="1080"/>
              </w:tabs>
              <w:spacing w:line="233" w:lineRule="auto"/>
              <w:jc w:val="right"/>
              <w:rPr>
                <w:szCs w:val="22"/>
              </w:rPr>
            </w:pPr>
          </w:p>
        </w:tc>
      </w:tr>
      <w:tr w:rsidR="004B5F5C" w:rsidRPr="00663610">
        <w:tc>
          <w:tcPr>
            <w:tcW w:w="2988" w:type="dxa"/>
            <w:tcBorders>
              <w:top w:val="single" w:sz="4" w:space="0" w:color="auto"/>
              <w:left w:val="single" w:sz="4" w:space="0" w:color="auto"/>
              <w:bottom w:val="single" w:sz="4" w:space="0" w:color="auto"/>
            </w:tcBorders>
          </w:tcPr>
          <w:p w:rsidR="004B5F5C" w:rsidRPr="00663610" w:rsidRDefault="004B5F5C" w:rsidP="009004A3">
            <w:pPr>
              <w:pStyle w:val="BodyText"/>
              <w:tabs>
                <w:tab w:val="clear" w:pos="1080"/>
              </w:tabs>
              <w:spacing w:line="233" w:lineRule="auto"/>
              <w:rPr>
                <w:szCs w:val="22"/>
              </w:rPr>
            </w:pPr>
            <w:r w:rsidRPr="00663610">
              <w:rPr>
                <w:szCs w:val="22"/>
              </w:rPr>
              <w:t>Diluted EPS (sen)</w:t>
            </w:r>
          </w:p>
          <w:p w:rsidR="004B5F5C" w:rsidRPr="00663610" w:rsidRDefault="004B5F5C" w:rsidP="009004A3">
            <w:pPr>
              <w:pStyle w:val="BodyText"/>
              <w:tabs>
                <w:tab w:val="clear" w:pos="1080"/>
              </w:tabs>
              <w:spacing w:line="233" w:lineRule="auto"/>
              <w:rPr>
                <w:i/>
                <w:iCs/>
                <w:szCs w:val="22"/>
              </w:rPr>
            </w:pPr>
          </w:p>
        </w:tc>
        <w:tc>
          <w:tcPr>
            <w:tcW w:w="270" w:type="dxa"/>
            <w:tcBorders>
              <w:top w:val="single" w:sz="4" w:space="0" w:color="auto"/>
              <w:bottom w:val="single" w:sz="4" w:space="0" w:color="auto"/>
              <w:right w:val="single" w:sz="4" w:space="0" w:color="auto"/>
            </w:tcBorders>
          </w:tcPr>
          <w:p w:rsidR="004B5F5C" w:rsidRPr="00663610" w:rsidRDefault="004B5F5C" w:rsidP="009004A3">
            <w:pPr>
              <w:pStyle w:val="BodyText"/>
              <w:tabs>
                <w:tab w:val="clear" w:pos="1080"/>
              </w:tabs>
              <w:spacing w:line="233" w:lineRule="auto"/>
              <w:rPr>
                <w:i/>
                <w:iCs/>
                <w:szCs w:val="22"/>
              </w:rPr>
            </w:pPr>
          </w:p>
        </w:tc>
        <w:tc>
          <w:tcPr>
            <w:tcW w:w="1350" w:type="dxa"/>
            <w:tcBorders>
              <w:top w:val="single" w:sz="4" w:space="0" w:color="auto"/>
              <w:left w:val="single" w:sz="4" w:space="0" w:color="auto"/>
              <w:bottom w:val="single" w:sz="4" w:space="0" w:color="auto"/>
              <w:right w:val="single" w:sz="4" w:space="0" w:color="auto"/>
            </w:tcBorders>
          </w:tcPr>
          <w:p w:rsidR="004B5F5C" w:rsidRPr="00663610" w:rsidRDefault="00587134" w:rsidP="00264F5D">
            <w:pPr>
              <w:pStyle w:val="BodyText"/>
              <w:tabs>
                <w:tab w:val="clear" w:pos="1080"/>
              </w:tabs>
              <w:spacing w:line="233" w:lineRule="auto"/>
              <w:jc w:val="right"/>
              <w:rPr>
                <w:szCs w:val="22"/>
                <w:lang w:eastAsia="zh-CN"/>
              </w:rPr>
            </w:pPr>
            <w:r>
              <w:rPr>
                <w:szCs w:val="22"/>
                <w:lang w:eastAsia="zh-CN"/>
              </w:rPr>
              <w:t>0.</w:t>
            </w:r>
            <w:r w:rsidR="00264F5D">
              <w:rPr>
                <w:rFonts w:hint="eastAsia"/>
                <w:szCs w:val="22"/>
                <w:lang w:eastAsia="zh-CN"/>
              </w:rPr>
              <w:t>7</w:t>
            </w:r>
            <w:r w:rsidR="00FE2A05">
              <w:rPr>
                <w:szCs w:val="22"/>
                <w:lang w:eastAsia="zh-CN"/>
              </w:rPr>
              <w:t>2</w:t>
            </w:r>
          </w:p>
        </w:tc>
        <w:tc>
          <w:tcPr>
            <w:tcW w:w="1620" w:type="dxa"/>
            <w:tcBorders>
              <w:top w:val="single" w:sz="4" w:space="0" w:color="auto"/>
              <w:left w:val="single" w:sz="4" w:space="0" w:color="auto"/>
              <w:bottom w:val="single" w:sz="4" w:space="0" w:color="auto"/>
              <w:right w:val="single" w:sz="4" w:space="0" w:color="auto"/>
            </w:tcBorders>
          </w:tcPr>
          <w:p w:rsidR="004B5F5C" w:rsidRPr="00663610" w:rsidRDefault="00FE2A05" w:rsidP="00096719">
            <w:pPr>
              <w:pStyle w:val="BodyText"/>
              <w:tabs>
                <w:tab w:val="clear" w:pos="1080"/>
              </w:tabs>
              <w:spacing w:line="233" w:lineRule="auto"/>
              <w:jc w:val="right"/>
              <w:rPr>
                <w:szCs w:val="22"/>
                <w:lang w:eastAsia="zh-CN"/>
              </w:rPr>
            </w:pPr>
            <w:r>
              <w:rPr>
                <w:szCs w:val="22"/>
                <w:lang w:eastAsia="zh-CN"/>
              </w:rPr>
              <w:t>0.50</w:t>
            </w:r>
          </w:p>
        </w:tc>
        <w:tc>
          <w:tcPr>
            <w:tcW w:w="270" w:type="dxa"/>
            <w:tcBorders>
              <w:top w:val="single" w:sz="4" w:space="0" w:color="auto"/>
              <w:left w:val="single" w:sz="4" w:space="0" w:color="auto"/>
              <w:bottom w:val="single" w:sz="4" w:space="0" w:color="auto"/>
            </w:tcBorders>
          </w:tcPr>
          <w:p w:rsidR="004B5F5C" w:rsidRPr="00663610" w:rsidRDefault="004B5F5C" w:rsidP="009004A3">
            <w:pPr>
              <w:pStyle w:val="BodyText"/>
              <w:tabs>
                <w:tab w:val="clear" w:pos="1080"/>
              </w:tabs>
              <w:spacing w:line="233" w:lineRule="auto"/>
              <w:jc w:val="right"/>
              <w:rPr>
                <w:szCs w:val="22"/>
              </w:rPr>
            </w:pPr>
          </w:p>
        </w:tc>
        <w:tc>
          <w:tcPr>
            <w:tcW w:w="1350" w:type="dxa"/>
            <w:tcBorders>
              <w:top w:val="single" w:sz="4" w:space="0" w:color="auto"/>
              <w:bottom w:val="single" w:sz="4" w:space="0" w:color="auto"/>
              <w:right w:val="single" w:sz="4" w:space="0" w:color="auto"/>
            </w:tcBorders>
          </w:tcPr>
          <w:p w:rsidR="004B5F5C" w:rsidRPr="00663610" w:rsidRDefault="00FE2A05" w:rsidP="00264F5D">
            <w:pPr>
              <w:pStyle w:val="BodyText"/>
              <w:tabs>
                <w:tab w:val="clear" w:pos="1080"/>
              </w:tabs>
              <w:spacing w:line="233" w:lineRule="auto"/>
              <w:jc w:val="right"/>
              <w:rPr>
                <w:szCs w:val="22"/>
                <w:lang w:eastAsia="zh-CN"/>
              </w:rPr>
            </w:pPr>
            <w:r>
              <w:rPr>
                <w:szCs w:val="22"/>
                <w:lang w:eastAsia="zh-CN"/>
              </w:rPr>
              <w:t>0.</w:t>
            </w:r>
            <w:r w:rsidR="00264F5D">
              <w:rPr>
                <w:rFonts w:hint="eastAsia"/>
                <w:szCs w:val="22"/>
                <w:lang w:eastAsia="zh-CN"/>
              </w:rPr>
              <w:t>7</w:t>
            </w:r>
            <w:r>
              <w:rPr>
                <w:szCs w:val="22"/>
                <w:lang w:eastAsia="zh-CN"/>
              </w:rPr>
              <w:t>2</w:t>
            </w:r>
          </w:p>
        </w:tc>
        <w:tc>
          <w:tcPr>
            <w:tcW w:w="1620" w:type="dxa"/>
            <w:tcBorders>
              <w:top w:val="single" w:sz="4" w:space="0" w:color="auto"/>
              <w:left w:val="single" w:sz="4" w:space="0" w:color="auto"/>
              <w:bottom w:val="single" w:sz="4" w:space="0" w:color="auto"/>
              <w:right w:val="single" w:sz="4" w:space="0" w:color="auto"/>
            </w:tcBorders>
          </w:tcPr>
          <w:p w:rsidR="004B5F5C" w:rsidRPr="00663610" w:rsidRDefault="00FE2A05" w:rsidP="00332A24">
            <w:pPr>
              <w:pStyle w:val="BodyText"/>
              <w:tabs>
                <w:tab w:val="clear" w:pos="1080"/>
              </w:tabs>
              <w:spacing w:line="233" w:lineRule="auto"/>
              <w:jc w:val="right"/>
              <w:rPr>
                <w:szCs w:val="22"/>
                <w:lang w:eastAsia="zh-CN"/>
              </w:rPr>
            </w:pPr>
            <w:r>
              <w:rPr>
                <w:szCs w:val="22"/>
                <w:lang w:eastAsia="zh-CN"/>
              </w:rPr>
              <w:t>0.50</w:t>
            </w:r>
          </w:p>
        </w:tc>
      </w:tr>
    </w:tbl>
    <w:p w:rsidR="00AC0604" w:rsidRPr="00663610" w:rsidRDefault="00AC0604" w:rsidP="00AC0604">
      <w:pPr>
        <w:pStyle w:val="BodyText"/>
        <w:tabs>
          <w:tab w:val="clear" w:pos="1080"/>
        </w:tabs>
        <w:spacing w:line="233" w:lineRule="auto"/>
        <w:ind w:left="720"/>
        <w:rPr>
          <w:szCs w:val="22"/>
        </w:rPr>
      </w:pPr>
    </w:p>
    <w:p w:rsidR="00F846C0" w:rsidRPr="00571000" w:rsidRDefault="00F846C0" w:rsidP="001D329D">
      <w:pPr>
        <w:pStyle w:val="BodyText"/>
        <w:tabs>
          <w:tab w:val="clear" w:pos="1080"/>
        </w:tabs>
        <w:spacing w:line="233" w:lineRule="auto"/>
        <w:rPr>
          <w:i/>
          <w:sz w:val="20"/>
        </w:rPr>
      </w:pPr>
      <w:r w:rsidRPr="00663610">
        <w:rPr>
          <w:i/>
          <w:szCs w:val="22"/>
        </w:rPr>
        <w:tab/>
      </w:r>
      <w:r>
        <w:rPr>
          <w:i/>
          <w:sz w:val="20"/>
        </w:rPr>
        <w:t xml:space="preserve"> </w:t>
      </w:r>
    </w:p>
    <w:sectPr w:rsidR="00F846C0" w:rsidRPr="00571000" w:rsidSect="009828D0">
      <w:headerReference w:type="default" r:id="rId8"/>
      <w:footerReference w:type="even" r:id="rId9"/>
      <w:footerReference w:type="default" r:id="rId10"/>
      <w:type w:val="continuous"/>
      <w:pgSz w:w="11907" w:h="16840" w:code="9"/>
      <w:pgMar w:top="1152" w:right="927" w:bottom="1152" w:left="720" w:header="706" w:footer="706" w:gutter="0"/>
      <w:pgNumType w:start="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19C" w:rsidRDefault="003A319C">
      <w:r>
        <w:separator/>
      </w:r>
    </w:p>
  </w:endnote>
  <w:endnote w:type="continuationSeparator" w:id="0">
    <w:p w:rsidR="003A319C" w:rsidRDefault="003A3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tima">
    <w:altName w:val="Century Gothic"/>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018" w:rsidRDefault="00712018" w:rsidP="00540E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12018" w:rsidRDefault="0071201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018" w:rsidRDefault="00712018" w:rsidP="003A72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579B">
      <w:rPr>
        <w:rStyle w:val="PageNumber"/>
        <w:noProof/>
      </w:rPr>
      <w:t>5</w:t>
    </w:r>
    <w:r>
      <w:rPr>
        <w:rStyle w:val="PageNumber"/>
      </w:rPr>
      <w:fldChar w:fldCharType="end"/>
    </w:r>
  </w:p>
  <w:p w:rsidR="00712018" w:rsidRDefault="00712018">
    <w:pPr>
      <w:pStyle w:val="Footer"/>
      <w:ind w:right="360"/>
      <w:jc w:val="right"/>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19C" w:rsidRDefault="003A319C">
      <w:r>
        <w:separator/>
      </w:r>
    </w:p>
  </w:footnote>
  <w:footnote w:type="continuationSeparator" w:id="0">
    <w:p w:rsidR="003A319C" w:rsidRDefault="003A31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018" w:rsidRDefault="00712018">
    <w:pPr>
      <w:pStyle w:val="Header"/>
      <w:tabs>
        <w:tab w:val="clear" w:pos="8306"/>
        <w:tab w:val="right" w:pos="8910"/>
      </w:tabs>
      <w:ind w:left="3600"/>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776AA"/>
    <w:multiLevelType w:val="hybridMultilevel"/>
    <w:tmpl w:val="E6B687E8"/>
    <w:lvl w:ilvl="0" w:tplc="B3EE52FC">
      <w:start w:val="112"/>
      <w:numFmt w:val="bullet"/>
      <w:lvlText w:val=""/>
      <w:lvlJc w:val="left"/>
      <w:pPr>
        <w:ind w:left="1080" w:hanging="360"/>
      </w:pPr>
      <w:rPr>
        <w:rFonts w:ascii="Symbol" w:eastAsia="SimSu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931D91"/>
    <w:multiLevelType w:val="hybridMultilevel"/>
    <w:tmpl w:val="25104638"/>
    <w:lvl w:ilvl="0" w:tplc="06649276">
      <w:start w:val="112"/>
      <w:numFmt w:val="bullet"/>
      <w:lvlText w:val=""/>
      <w:lvlJc w:val="left"/>
      <w:pPr>
        <w:ind w:left="1080" w:hanging="360"/>
      </w:pPr>
      <w:rPr>
        <w:rFonts w:ascii="Symbol" w:eastAsia="SimSu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8E5303"/>
    <w:multiLevelType w:val="multilevel"/>
    <w:tmpl w:val="614895C2"/>
    <w:lvl w:ilvl="0">
      <w:start w:val="1"/>
      <w:numFmt w:val="decimal"/>
      <w:lvlText w:val="%1."/>
      <w:lvlJc w:val="left"/>
      <w:pPr>
        <w:ind w:left="108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nsid w:val="0B8B7365"/>
    <w:multiLevelType w:val="hybridMultilevel"/>
    <w:tmpl w:val="BE4AD7CA"/>
    <w:lvl w:ilvl="0" w:tplc="F7F893BA">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EAE4CCA"/>
    <w:multiLevelType w:val="hybridMultilevel"/>
    <w:tmpl w:val="071ABC1C"/>
    <w:lvl w:ilvl="0" w:tplc="CC4899C8">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nsid w:val="14F3704F"/>
    <w:multiLevelType w:val="hybridMultilevel"/>
    <w:tmpl w:val="7A8230B6"/>
    <w:lvl w:ilvl="0" w:tplc="06C87CBA">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7F84BCD"/>
    <w:multiLevelType w:val="hybridMultilevel"/>
    <w:tmpl w:val="7506CAB2"/>
    <w:lvl w:ilvl="0" w:tplc="37F081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C93D3A"/>
    <w:multiLevelType w:val="hybridMultilevel"/>
    <w:tmpl w:val="4056AD4E"/>
    <w:lvl w:ilvl="0" w:tplc="61D46C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E44E10"/>
    <w:multiLevelType w:val="hybridMultilevel"/>
    <w:tmpl w:val="32BE322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CE614D"/>
    <w:multiLevelType w:val="hybridMultilevel"/>
    <w:tmpl w:val="F3A258C6"/>
    <w:lvl w:ilvl="0" w:tplc="E452B3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3A1108A"/>
    <w:multiLevelType w:val="hybridMultilevel"/>
    <w:tmpl w:val="7B04E936"/>
    <w:lvl w:ilvl="0" w:tplc="2EC8FF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E1286A"/>
    <w:multiLevelType w:val="hybridMultilevel"/>
    <w:tmpl w:val="7DB61A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096169E"/>
    <w:multiLevelType w:val="hybridMultilevel"/>
    <w:tmpl w:val="A65A7302"/>
    <w:lvl w:ilvl="0" w:tplc="FCFACEA2">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31C7740"/>
    <w:multiLevelType w:val="hybridMultilevel"/>
    <w:tmpl w:val="390CCA4A"/>
    <w:lvl w:ilvl="0" w:tplc="945AC01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6AE7620"/>
    <w:multiLevelType w:val="hybridMultilevel"/>
    <w:tmpl w:val="F970F8D2"/>
    <w:lvl w:ilvl="0" w:tplc="EAA456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D72214"/>
    <w:multiLevelType w:val="multilevel"/>
    <w:tmpl w:val="614895C2"/>
    <w:lvl w:ilvl="0">
      <w:start w:val="1"/>
      <w:numFmt w:val="decimal"/>
      <w:lvlText w:val="%1."/>
      <w:lvlJc w:val="left"/>
      <w:pPr>
        <w:ind w:left="108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nsid w:val="3919431F"/>
    <w:multiLevelType w:val="hybridMultilevel"/>
    <w:tmpl w:val="58F63AB0"/>
    <w:lvl w:ilvl="0" w:tplc="2BD294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2601FF"/>
    <w:multiLevelType w:val="hybridMultilevel"/>
    <w:tmpl w:val="0A9C6C5C"/>
    <w:lvl w:ilvl="0" w:tplc="BEBE051A">
      <w:start w:val="2"/>
      <w:numFmt w:val="decimal"/>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36F2C9E"/>
    <w:multiLevelType w:val="hybridMultilevel"/>
    <w:tmpl w:val="0392507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CF6676"/>
    <w:multiLevelType w:val="hybridMultilevel"/>
    <w:tmpl w:val="F45C0D1A"/>
    <w:lvl w:ilvl="0" w:tplc="A9FEE02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2043702"/>
    <w:multiLevelType w:val="hybridMultilevel"/>
    <w:tmpl w:val="FABA46B2"/>
    <w:lvl w:ilvl="0" w:tplc="3CC6D7EE">
      <w:start w:val="1"/>
      <w:numFmt w:val="lowerRoman"/>
      <w:lvlText w:val="(%1)"/>
      <w:lvlJc w:val="left"/>
      <w:pPr>
        <w:tabs>
          <w:tab w:val="num" w:pos="1080"/>
        </w:tabs>
        <w:ind w:left="1080" w:hanging="720"/>
      </w:pPr>
      <w:rPr>
        <w:rFonts w:hint="default"/>
      </w:rPr>
    </w:lvl>
    <w:lvl w:ilvl="1" w:tplc="08F29A54">
      <w:numFmt w:val="bullet"/>
      <w:lvlText w:val="-"/>
      <w:lvlJc w:val="left"/>
      <w:pPr>
        <w:tabs>
          <w:tab w:val="num" w:pos="1440"/>
        </w:tabs>
        <w:ind w:left="1440" w:hanging="360"/>
      </w:pPr>
      <w:rPr>
        <w:rFonts w:ascii="Times New Roman" w:eastAsia="SimSu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F9E71D0"/>
    <w:multiLevelType w:val="hybridMultilevel"/>
    <w:tmpl w:val="4056AD4E"/>
    <w:lvl w:ilvl="0" w:tplc="61D46C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2313E40"/>
    <w:multiLevelType w:val="multilevel"/>
    <w:tmpl w:val="614895C2"/>
    <w:lvl w:ilvl="0">
      <w:start w:val="1"/>
      <w:numFmt w:val="decimal"/>
      <w:lvlText w:val="%1."/>
      <w:lvlJc w:val="left"/>
      <w:pPr>
        <w:ind w:left="108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3">
    <w:nsid w:val="766F613C"/>
    <w:multiLevelType w:val="hybridMultilevel"/>
    <w:tmpl w:val="72B2A6DC"/>
    <w:lvl w:ilvl="0" w:tplc="742ACB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6810624"/>
    <w:multiLevelType w:val="hybridMultilevel"/>
    <w:tmpl w:val="6F36DC5E"/>
    <w:lvl w:ilvl="0" w:tplc="894462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8C31304"/>
    <w:multiLevelType w:val="hybridMultilevel"/>
    <w:tmpl w:val="C1FEA90E"/>
    <w:lvl w:ilvl="0" w:tplc="5FAA5FC0">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F605EFC"/>
    <w:multiLevelType w:val="hybridMultilevel"/>
    <w:tmpl w:val="BD18D7DE"/>
    <w:lvl w:ilvl="0" w:tplc="5C0EF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3"/>
  </w:num>
  <w:num w:numId="3">
    <w:abstractNumId w:val="21"/>
  </w:num>
  <w:num w:numId="4">
    <w:abstractNumId w:val="11"/>
  </w:num>
  <w:num w:numId="5">
    <w:abstractNumId w:val="19"/>
  </w:num>
  <w:num w:numId="6">
    <w:abstractNumId w:val="5"/>
  </w:num>
  <w:num w:numId="7">
    <w:abstractNumId w:val="16"/>
  </w:num>
  <w:num w:numId="8">
    <w:abstractNumId w:val="6"/>
  </w:num>
  <w:num w:numId="9">
    <w:abstractNumId w:val="17"/>
  </w:num>
  <w:num w:numId="10">
    <w:abstractNumId w:val="9"/>
  </w:num>
  <w:num w:numId="11">
    <w:abstractNumId w:val="15"/>
  </w:num>
  <w:num w:numId="12">
    <w:abstractNumId w:val="2"/>
  </w:num>
  <w:num w:numId="13">
    <w:abstractNumId w:val="26"/>
  </w:num>
  <w:num w:numId="14">
    <w:abstractNumId w:val="23"/>
  </w:num>
  <w:num w:numId="15">
    <w:abstractNumId w:val="22"/>
  </w:num>
  <w:num w:numId="16">
    <w:abstractNumId w:val="14"/>
  </w:num>
  <w:num w:numId="17">
    <w:abstractNumId w:val="3"/>
  </w:num>
  <w:num w:numId="18">
    <w:abstractNumId w:val="18"/>
  </w:num>
  <w:num w:numId="19">
    <w:abstractNumId w:val="24"/>
  </w:num>
  <w:num w:numId="20">
    <w:abstractNumId w:val="10"/>
  </w:num>
  <w:num w:numId="21">
    <w:abstractNumId w:val="25"/>
  </w:num>
  <w:num w:numId="22">
    <w:abstractNumId w:val="1"/>
  </w:num>
  <w:num w:numId="23">
    <w:abstractNumId w:val="0"/>
  </w:num>
  <w:num w:numId="24">
    <w:abstractNumId w:val="8"/>
  </w:num>
  <w:num w:numId="25">
    <w:abstractNumId w:val="4"/>
  </w:num>
  <w:num w:numId="26">
    <w:abstractNumId w:val="12"/>
  </w:num>
  <w:num w:numId="27">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365"/>
    <w:rsid w:val="000002D8"/>
    <w:rsid w:val="00001014"/>
    <w:rsid w:val="000038C3"/>
    <w:rsid w:val="00003923"/>
    <w:rsid w:val="00003FCA"/>
    <w:rsid w:val="000044D3"/>
    <w:rsid w:val="00004C3B"/>
    <w:rsid w:val="00004EC3"/>
    <w:rsid w:val="0000564A"/>
    <w:rsid w:val="00005C13"/>
    <w:rsid w:val="0000629B"/>
    <w:rsid w:val="00006373"/>
    <w:rsid w:val="00006531"/>
    <w:rsid w:val="000078C6"/>
    <w:rsid w:val="00007B5C"/>
    <w:rsid w:val="00011196"/>
    <w:rsid w:val="000124A8"/>
    <w:rsid w:val="00012870"/>
    <w:rsid w:val="00012B0D"/>
    <w:rsid w:val="0001465E"/>
    <w:rsid w:val="00014C38"/>
    <w:rsid w:val="00014EC8"/>
    <w:rsid w:val="000165EB"/>
    <w:rsid w:val="00016896"/>
    <w:rsid w:val="00016BA3"/>
    <w:rsid w:val="0001745C"/>
    <w:rsid w:val="00017801"/>
    <w:rsid w:val="000178EB"/>
    <w:rsid w:val="00017C06"/>
    <w:rsid w:val="0002056F"/>
    <w:rsid w:val="00020A15"/>
    <w:rsid w:val="00021AA6"/>
    <w:rsid w:val="00022D61"/>
    <w:rsid w:val="00023369"/>
    <w:rsid w:val="000233F5"/>
    <w:rsid w:val="000241EC"/>
    <w:rsid w:val="00026093"/>
    <w:rsid w:val="000269D6"/>
    <w:rsid w:val="00026BDD"/>
    <w:rsid w:val="00026BE0"/>
    <w:rsid w:val="00030873"/>
    <w:rsid w:val="00030D5F"/>
    <w:rsid w:val="00030E7E"/>
    <w:rsid w:val="00031573"/>
    <w:rsid w:val="00031E3E"/>
    <w:rsid w:val="000336C7"/>
    <w:rsid w:val="0003379E"/>
    <w:rsid w:val="000344D5"/>
    <w:rsid w:val="000347F4"/>
    <w:rsid w:val="00034BD1"/>
    <w:rsid w:val="00034CA1"/>
    <w:rsid w:val="00034FBC"/>
    <w:rsid w:val="000358EA"/>
    <w:rsid w:val="0004083D"/>
    <w:rsid w:val="00040EAA"/>
    <w:rsid w:val="0004120B"/>
    <w:rsid w:val="000416F2"/>
    <w:rsid w:val="000424A8"/>
    <w:rsid w:val="000429BD"/>
    <w:rsid w:val="00042AB1"/>
    <w:rsid w:val="00042BCF"/>
    <w:rsid w:val="000438AD"/>
    <w:rsid w:val="0004553D"/>
    <w:rsid w:val="0004614C"/>
    <w:rsid w:val="0004662F"/>
    <w:rsid w:val="00046F01"/>
    <w:rsid w:val="0004734F"/>
    <w:rsid w:val="00047933"/>
    <w:rsid w:val="00050394"/>
    <w:rsid w:val="00050702"/>
    <w:rsid w:val="000511DC"/>
    <w:rsid w:val="000512F0"/>
    <w:rsid w:val="00051D1A"/>
    <w:rsid w:val="00052CEE"/>
    <w:rsid w:val="00053439"/>
    <w:rsid w:val="00053C0C"/>
    <w:rsid w:val="00054162"/>
    <w:rsid w:val="00054DAC"/>
    <w:rsid w:val="000555DB"/>
    <w:rsid w:val="00055A7E"/>
    <w:rsid w:val="000564E0"/>
    <w:rsid w:val="00056E8C"/>
    <w:rsid w:val="0006007F"/>
    <w:rsid w:val="00060C01"/>
    <w:rsid w:val="00061BED"/>
    <w:rsid w:val="000631A1"/>
    <w:rsid w:val="00063720"/>
    <w:rsid w:val="00063D95"/>
    <w:rsid w:val="00063DAD"/>
    <w:rsid w:val="00065099"/>
    <w:rsid w:val="000651EE"/>
    <w:rsid w:val="00065A6C"/>
    <w:rsid w:val="00065EB0"/>
    <w:rsid w:val="00065FD2"/>
    <w:rsid w:val="00067362"/>
    <w:rsid w:val="00067630"/>
    <w:rsid w:val="00067F8B"/>
    <w:rsid w:val="0007072D"/>
    <w:rsid w:val="00071B86"/>
    <w:rsid w:val="00071D5D"/>
    <w:rsid w:val="00072DDA"/>
    <w:rsid w:val="00073BF7"/>
    <w:rsid w:val="00074686"/>
    <w:rsid w:val="00075744"/>
    <w:rsid w:val="00075A74"/>
    <w:rsid w:val="00075F7C"/>
    <w:rsid w:val="00076043"/>
    <w:rsid w:val="000764E3"/>
    <w:rsid w:val="000770C6"/>
    <w:rsid w:val="000771A2"/>
    <w:rsid w:val="000773F8"/>
    <w:rsid w:val="000779E5"/>
    <w:rsid w:val="00080293"/>
    <w:rsid w:val="000821C4"/>
    <w:rsid w:val="0008254E"/>
    <w:rsid w:val="00082856"/>
    <w:rsid w:val="000829AB"/>
    <w:rsid w:val="00082B22"/>
    <w:rsid w:val="00084845"/>
    <w:rsid w:val="00086629"/>
    <w:rsid w:val="00087B91"/>
    <w:rsid w:val="0009018B"/>
    <w:rsid w:val="000904E7"/>
    <w:rsid w:val="00090914"/>
    <w:rsid w:val="00091004"/>
    <w:rsid w:val="0009125A"/>
    <w:rsid w:val="00091404"/>
    <w:rsid w:val="0009167A"/>
    <w:rsid w:val="00091A0C"/>
    <w:rsid w:val="00093910"/>
    <w:rsid w:val="00093F8D"/>
    <w:rsid w:val="00094B42"/>
    <w:rsid w:val="000953AA"/>
    <w:rsid w:val="00095904"/>
    <w:rsid w:val="000961D8"/>
    <w:rsid w:val="00096719"/>
    <w:rsid w:val="00096A77"/>
    <w:rsid w:val="000A0747"/>
    <w:rsid w:val="000A2799"/>
    <w:rsid w:val="000A2F83"/>
    <w:rsid w:val="000A3712"/>
    <w:rsid w:val="000A3E87"/>
    <w:rsid w:val="000A3FF9"/>
    <w:rsid w:val="000A4E53"/>
    <w:rsid w:val="000A5357"/>
    <w:rsid w:val="000A5748"/>
    <w:rsid w:val="000A7A28"/>
    <w:rsid w:val="000B038B"/>
    <w:rsid w:val="000B0D60"/>
    <w:rsid w:val="000B14E9"/>
    <w:rsid w:val="000B2756"/>
    <w:rsid w:val="000B2B94"/>
    <w:rsid w:val="000B2EF3"/>
    <w:rsid w:val="000B381E"/>
    <w:rsid w:val="000B3847"/>
    <w:rsid w:val="000B38B3"/>
    <w:rsid w:val="000B44F8"/>
    <w:rsid w:val="000B4C29"/>
    <w:rsid w:val="000B4F3B"/>
    <w:rsid w:val="000B53A3"/>
    <w:rsid w:val="000B61EB"/>
    <w:rsid w:val="000B7077"/>
    <w:rsid w:val="000B7F2F"/>
    <w:rsid w:val="000C01B7"/>
    <w:rsid w:val="000C07C4"/>
    <w:rsid w:val="000C0F1D"/>
    <w:rsid w:val="000C128D"/>
    <w:rsid w:val="000C19D5"/>
    <w:rsid w:val="000C30BC"/>
    <w:rsid w:val="000C3F06"/>
    <w:rsid w:val="000C4B74"/>
    <w:rsid w:val="000C4C0F"/>
    <w:rsid w:val="000C5253"/>
    <w:rsid w:val="000C5345"/>
    <w:rsid w:val="000C5E75"/>
    <w:rsid w:val="000C5F36"/>
    <w:rsid w:val="000C68B1"/>
    <w:rsid w:val="000C7161"/>
    <w:rsid w:val="000C72FA"/>
    <w:rsid w:val="000C73FA"/>
    <w:rsid w:val="000D0A01"/>
    <w:rsid w:val="000D17C0"/>
    <w:rsid w:val="000D1FAC"/>
    <w:rsid w:val="000D39C5"/>
    <w:rsid w:val="000D41B8"/>
    <w:rsid w:val="000D454E"/>
    <w:rsid w:val="000D465B"/>
    <w:rsid w:val="000D4A18"/>
    <w:rsid w:val="000D4E37"/>
    <w:rsid w:val="000D660A"/>
    <w:rsid w:val="000D6A92"/>
    <w:rsid w:val="000D6B97"/>
    <w:rsid w:val="000D793D"/>
    <w:rsid w:val="000D794D"/>
    <w:rsid w:val="000D7EFF"/>
    <w:rsid w:val="000E0FC6"/>
    <w:rsid w:val="000E130B"/>
    <w:rsid w:val="000E1996"/>
    <w:rsid w:val="000E1FED"/>
    <w:rsid w:val="000E379B"/>
    <w:rsid w:val="000E7ADF"/>
    <w:rsid w:val="000E7B65"/>
    <w:rsid w:val="000F085B"/>
    <w:rsid w:val="000F0DA6"/>
    <w:rsid w:val="000F17F8"/>
    <w:rsid w:val="000F1FCB"/>
    <w:rsid w:val="000F245C"/>
    <w:rsid w:val="000F26BB"/>
    <w:rsid w:val="000F294F"/>
    <w:rsid w:val="000F29FB"/>
    <w:rsid w:val="000F3349"/>
    <w:rsid w:val="000F34CF"/>
    <w:rsid w:val="000F34F9"/>
    <w:rsid w:val="000F41F5"/>
    <w:rsid w:val="000F4304"/>
    <w:rsid w:val="000F47AA"/>
    <w:rsid w:val="000F532C"/>
    <w:rsid w:val="000F5B80"/>
    <w:rsid w:val="000F62DB"/>
    <w:rsid w:val="000F6685"/>
    <w:rsid w:val="000F6752"/>
    <w:rsid w:val="000F68EB"/>
    <w:rsid w:val="000F6966"/>
    <w:rsid w:val="000F70D9"/>
    <w:rsid w:val="00100B8C"/>
    <w:rsid w:val="00100BF1"/>
    <w:rsid w:val="00101751"/>
    <w:rsid w:val="00101EFF"/>
    <w:rsid w:val="0010233A"/>
    <w:rsid w:val="001023CF"/>
    <w:rsid w:val="00103515"/>
    <w:rsid w:val="00103CBA"/>
    <w:rsid w:val="00103DE1"/>
    <w:rsid w:val="00104387"/>
    <w:rsid w:val="001052EA"/>
    <w:rsid w:val="001053D8"/>
    <w:rsid w:val="00110D52"/>
    <w:rsid w:val="0011194D"/>
    <w:rsid w:val="00111B45"/>
    <w:rsid w:val="00112159"/>
    <w:rsid w:val="001125A8"/>
    <w:rsid w:val="00112F5C"/>
    <w:rsid w:val="001165CE"/>
    <w:rsid w:val="0011693D"/>
    <w:rsid w:val="0012129B"/>
    <w:rsid w:val="00121B86"/>
    <w:rsid w:val="00121D4A"/>
    <w:rsid w:val="00122175"/>
    <w:rsid w:val="001222E6"/>
    <w:rsid w:val="00122EF4"/>
    <w:rsid w:val="0012311B"/>
    <w:rsid w:val="00123840"/>
    <w:rsid w:val="00123E57"/>
    <w:rsid w:val="00124083"/>
    <w:rsid w:val="00124558"/>
    <w:rsid w:val="001249A4"/>
    <w:rsid w:val="00124A21"/>
    <w:rsid w:val="00124AC0"/>
    <w:rsid w:val="00126001"/>
    <w:rsid w:val="00126096"/>
    <w:rsid w:val="00126186"/>
    <w:rsid w:val="001267ED"/>
    <w:rsid w:val="00127F61"/>
    <w:rsid w:val="00130836"/>
    <w:rsid w:val="00130EB9"/>
    <w:rsid w:val="00132628"/>
    <w:rsid w:val="00133463"/>
    <w:rsid w:val="001339A2"/>
    <w:rsid w:val="00134F9E"/>
    <w:rsid w:val="001353A7"/>
    <w:rsid w:val="001354E2"/>
    <w:rsid w:val="00136279"/>
    <w:rsid w:val="00137F5D"/>
    <w:rsid w:val="00140379"/>
    <w:rsid w:val="00141DF0"/>
    <w:rsid w:val="00141E8F"/>
    <w:rsid w:val="00142150"/>
    <w:rsid w:val="00142400"/>
    <w:rsid w:val="00142D5F"/>
    <w:rsid w:val="00143960"/>
    <w:rsid w:val="00144682"/>
    <w:rsid w:val="0014470A"/>
    <w:rsid w:val="0014479C"/>
    <w:rsid w:val="00144CE9"/>
    <w:rsid w:val="0014572E"/>
    <w:rsid w:val="001457EB"/>
    <w:rsid w:val="001464D8"/>
    <w:rsid w:val="00146E68"/>
    <w:rsid w:val="00150078"/>
    <w:rsid w:val="0015075D"/>
    <w:rsid w:val="00150EBC"/>
    <w:rsid w:val="00151410"/>
    <w:rsid w:val="00152040"/>
    <w:rsid w:val="00152685"/>
    <w:rsid w:val="0015293D"/>
    <w:rsid w:val="0015304A"/>
    <w:rsid w:val="0015386E"/>
    <w:rsid w:val="001538E4"/>
    <w:rsid w:val="0015455F"/>
    <w:rsid w:val="001545CE"/>
    <w:rsid w:val="00154B9D"/>
    <w:rsid w:val="00155425"/>
    <w:rsid w:val="001561A2"/>
    <w:rsid w:val="001561DE"/>
    <w:rsid w:val="00157179"/>
    <w:rsid w:val="001575ED"/>
    <w:rsid w:val="001601AB"/>
    <w:rsid w:val="00160B81"/>
    <w:rsid w:val="00161CF6"/>
    <w:rsid w:val="001623D4"/>
    <w:rsid w:val="00162BD7"/>
    <w:rsid w:val="00162F79"/>
    <w:rsid w:val="00163833"/>
    <w:rsid w:val="00163B4E"/>
    <w:rsid w:val="00164A41"/>
    <w:rsid w:val="00164FA7"/>
    <w:rsid w:val="0016558A"/>
    <w:rsid w:val="00165810"/>
    <w:rsid w:val="00166294"/>
    <w:rsid w:val="001663C5"/>
    <w:rsid w:val="001664CB"/>
    <w:rsid w:val="00172C20"/>
    <w:rsid w:val="00172E9B"/>
    <w:rsid w:val="001734DC"/>
    <w:rsid w:val="00173656"/>
    <w:rsid w:val="00173D38"/>
    <w:rsid w:val="00173E4D"/>
    <w:rsid w:val="00174FBA"/>
    <w:rsid w:val="0017652D"/>
    <w:rsid w:val="001767C6"/>
    <w:rsid w:val="001770F1"/>
    <w:rsid w:val="0018183F"/>
    <w:rsid w:val="00182559"/>
    <w:rsid w:val="001829C9"/>
    <w:rsid w:val="001830AF"/>
    <w:rsid w:val="0018360D"/>
    <w:rsid w:val="00185115"/>
    <w:rsid w:val="0018514D"/>
    <w:rsid w:val="00185336"/>
    <w:rsid w:val="001853D9"/>
    <w:rsid w:val="00185549"/>
    <w:rsid w:val="00185D1D"/>
    <w:rsid w:val="001863E7"/>
    <w:rsid w:val="00187304"/>
    <w:rsid w:val="00190B7B"/>
    <w:rsid w:val="00191053"/>
    <w:rsid w:val="0019149A"/>
    <w:rsid w:val="00191951"/>
    <w:rsid w:val="001927A1"/>
    <w:rsid w:val="0019313F"/>
    <w:rsid w:val="001937EF"/>
    <w:rsid w:val="00195EBB"/>
    <w:rsid w:val="00196110"/>
    <w:rsid w:val="001962ED"/>
    <w:rsid w:val="00196399"/>
    <w:rsid w:val="00196CE0"/>
    <w:rsid w:val="00196DBA"/>
    <w:rsid w:val="0019707A"/>
    <w:rsid w:val="00197762"/>
    <w:rsid w:val="001A00AC"/>
    <w:rsid w:val="001A0534"/>
    <w:rsid w:val="001A0E58"/>
    <w:rsid w:val="001A1241"/>
    <w:rsid w:val="001A1354"/>
    <w:rsid w:val="001A1A00"/>
    <w:rsid w:val="001A29DB"/>
    <w:rsid w:val="001A2A38"/>
    <w:rsid w:val="001A2DCE"/>
    <w:rsid w:val="001A300B"/>
    <w:rsid w:val="001A3032"/>
    <w:rsid w:val="001A3721"/>
    <w:rsid w:val="001A42EF"/>
    <w:rsid w:val="001A45BE"/>
    <w:rsid w:val="001A5C8C"/>
    <w:rsid w:val="001A5EAD"/>
    <w:rsid w:val="001A6621"/>
    <w:rsid w:val="001A6F67"/>
    <w:rsid w:val="001A79ED"/>
    <w:rsid w:val="001A7B22"/>
    <w:rsid w:val="001B0AC1"/>
    <w:rsid w:val="001B13BA"/>
    <w:rsid w:val="001B13FD"/>
    <w:rsid w:val="001B2C80"/>
    <w:rsid w:val="001B425C"/>
    <w:rsid w:val="001B4782"/>
    <w:rsid w:val="001B4FC7"/>
    <w:rsid w:val="001B554C"/>
    <w:rsid w:val="001B5D0D"/>
    <w:rsid w:val="001B62EB"/>
    <w:rsid w:val="001B6417"/>
    <w:rsid w:val="001B794C"/>
    <w:rsid w:val="001C0231"/>
    <w:rsid w:val="001C0282"/>
    <w:rsid w:val="001C0B52"/>
    <w:rsid w:val="001C2A57"/>
    <w:rsid w:val="001C3507"/>
    <w:rsid w:val="001C3645"/>
    <w:rsid w:val="001C3CEE"/>
    <w:rsid w:val="001C44A6"/>
    <w:rsid w:val="001C4642"/>
    <w:rsid w:val="001C482C"/>
    <w:rsid w:val="001C637B"/>
    <w:rsid w:val="001C6AF1"/>
    <w:rsid w:val="001C6FF6"/>
    <w:rsid w:val="001C72D3"/>
    <w:rsid w:val="001C7DA9"/>
    <w:rsid w:val="001D2A56"/>
    <w:rsid w:val="001D2AD6"/>
    <w:rsid w:val="001D329D"/>
    <w:rsid w:val="001D3651"/>
    <w:rsid w:val="001D3FF2"/>
    <w:rsid w:val="001D4530"/>
    <w:rsid w:val="001D5C5B"/>
    <w:rsid w:val="001D5E2A"/>
    <w:rsid w:val="001D655D"/>
    <w:rsid w:val="001D667E"/>
    <w:rsid w:val="001D6C82"/>
    <w:rsid w:val="001D6E42"/>
    <w:rsid w:val="001D7322"/>
    <w:rsid w:val="001D75FE"/>
    <w:rsid w:val="001E0A5E"/>
    <w:rsid w:val="001E0CA4"/>
    <w:rsid w:val="001E0EED"/>
    <w:rsid w:val="001E17EC"/>
    <w:rsid w:val="001E28AC"/>
    <w:rsid w:val="001E2E36"/>
    <w:rsid w:val="001E2ED8"/>
    <w:rsid w:val="001E35B9"/>
    <w:rsid w:val="001E4286"/>
    <w:rsid w:val="001E4305"/>
    <w:rsid w:val="001E451D"/>
    <w:rsid w:val="001E4D3F"/>
    <w:rsid w:val="001E55D5"/>
    <w:rsid w:val="001E58B6"/>
    <w:rsid w:val="001E63C7"/>
    <w:rsid w:val="001E6B46"/>
    <w:rsid w:val="001E73E0"/>
    <w:rsid w:val="001F0E1E"/>
    <w:rsid w:val="001F19BE"/>
    <w:rsid w:val="001F1AB2"/>
    <w:rsid w:val="001F284B"/>
    <w:rsid w:val="001F334E"/>
    <w:rsid w:val="001F378F"/>
    <w:rsid w:val="001F3B7C"/>
    <w:rsid w:val="001F3F78"/>
    <w:rsid w:val="001F43CA"/>
    <w:rsid w:val="001F45D1"/>
    <w:rsid w:val="001F53CF"/>
    <w:rsid w:val="001F5D78"/>
    <w:rsid w:val="001F5DEB"/>
    <w:rsid w:val="001F5F81"/>
    <w:rsid w:val="001F6A5A"/>
    <w:rsid w:val="001F6C0F"/>
    <w:rsid w:val="002006B0"/>
    <w:rsid w:val="002017F6"/>
    <w:rsid w:val="0020279A"/>
    <w:rsid w:val="002028A6"/>
    <w:rsid w:val="00202B79"/>
    <w:rsid w:val="00202BF3"/>
    <w:rsid w:val="00202D96"/>
    <w:rsid w:val="002047EB"/>
    <w:rsid w:val="002048F0"/>
    <w:rsid w:val="00204902"/>
    <w:rsid w:val="00205EB0"/>
    <w:rsid w:val="00205FEA"/>
    <w:rsid w:val="002068DB"/>
    <w:rsid w:val="00206E83"/>
    <w:rsid w:val="002071BD"/>
    <w:rsid w:val="00211E9E"/>
    <w:rsid w:val="002144CF"/>
    <w:rsid w:val="002157FA"/>
    <w:rsid w:val="00215950"/>
    <w:rsid w:val="00215E4F"/>
    <w:rsid w:val="00215FF6"/>
    <w:rsid w:val="00216219"/>
    <w:rsid w:val="00216F1A"/>
    <w:rsid w:val="00217808"/>
    <w:rsid w:val="002203E6"/>
    <w:rsid w:val="002206AB"/>
    <w:rsid w:val="0022591F"/>
    <w:rsid w:val="002269F1"/>
    <w:rsid w:val="00227D6D"/>
    <w:rsid w:val="002301C9"/>
    <w:rsid w:val="002303BB"/>
    <w:rsid w:val="0023134B"/>
    <w:rsid w:val="00232748"/>
    <w:rsid w:val="00232FD0"/>
    <w:rsid w:val="00233BDC"/>
    <w:rsid w:val="0023453F"/>
    <w:rsid w:val="002358A2"/>
    <w:rsid w:val="002364F1"/>
    <w:rsid w:val="00236ECD"/>
    <w:rsid w:val="00237156"/>
    <w:rsid w:val="00237162"/>
    <w:rsid w:val="00237D55"/>
    <w:rsid w:val="00240E6A"/>
    <w:rsid w:val="00241358"/>
    <w:rsid w:val="002413EB"/>
    <w:rsid w:val="002420DA"/>
    <w:rsid w:val="002425E2"/>
    <w:rsid w:val="00242ADF"/>
    <w:rsid w:val="00243396"/>
    <w:rsid w:val="00244371"/>
    <w:rsid w:val="00244647"/>
    <w:rsid w:val="0024587F"/>
    <w:rsid w:val="00245C98"/>
    <w:rsid w:val="00245EE9"/>
    <w:rsid w:val="00247081"/>
    <w:rsid w:val="00247317"/>
    <w:rsid w:val="00250B89"/>
    <w:rsid w:val="0025159F"/>
    <w:rsid w:val="0025161A"/>
    <w:rsid w:val="00251BDB"/>
    <w:rsid w:val="00251D21"/>
    <w:rsid w:val="00252C72"/>
    <w:rsid w:val="002535F9"/>
    <w:rsid w:val="002537BC"/>
    <w:rsid w:val="00253DA9"/>
    <w:rsid w:val="002542BA"/>
    <w:rsid w:val="00255F95"/>
    <w:rsid w:val="002562D2"/>
    <w:rsid w:val="00256D06"/>
    <w:rsid w:val="00256E7A"/>
    <w:rsid w:val="00257795"/>
    <w:rsid w:val="00260138"/>
    <w:rsid w:val="002607B9"/>
    <w:rsid w:val="00260D2A"/>
    <w:rsid w:val="00260D4A"/>
    <w:rsid w:val="0026285D"/>
    <w:rsid w:val="00263412"/>
    <w:rsid w:val="002642D7"/>
    <w:rsid w:val="0026443F"/>
    <w:rsid w:val="00264F5D"/>
    <w:rsid w:val="002651D7"/>
    <w:rsid w:val="00265CC5"/>
    <w:rsid w:val="00265F87"/>
    <w:rsid w:val="00266DA2"/>
    <w:rsid w:val="00266FED"/>
    <w:rsid w:val="00267525"/>
    <w:rsid w:val="00267905"/>
    <w:rsid w:val="00267B7D"/>
    <w:rsid w:val="00267D1C"/>
    <w:rsid w:val="00270324"/>
    <w:rsid w:val="00271370"/>
    <w:rsid w:val="00271B3B"/>
    <w:rsid w:val="002720B0"/>
    <w:rsid w:val="00272EE5"/>
    <w:rsid w:val="0027363A"/>
    <w:rsid w:val="00275471"/>
    <w:rsid w:val="00275A7A"/>
    <w:rsid w:val="00276393"/>
    <w:rsid w:val="002767ED"/>
    <w:rsid w:val="00277976"/>
    <w:rsid w:val="00277FDB"/>
    <w:rsid w:val="00281522"/>
    <w:rsid w:val="002817FC"/>
    <w:rsid w:val="00283C02"/>
    <w:rsid w:val="00284B25"/>
    <w:rsid w:val="00285305"/>
    <w:rsid w:val="0028584D"/>
    <w:rsid w:val="0028604C"/>
    <w:rsid w:val="002903EF"/>
    <w:rsid w:val="00290588"/>
    <w:rsid w:val="002906B2"/>
    <w:rsid w:val="00290ECC"/>
    <w:rsid w:val="00291762"/>
    <w:rsid w:val="00291817"/>
    <w:rsid w:val="002922AE"/>
    <w:rsid w:val="002932D5"/>
    <w:rsid w:val="00293723"/>
    <w:rsid w:val="00293A3B"/>
    <w:rsid w:val="00293EFB"/>
    <w:rsid w:val="0029492E"/>
    <w:rsid w:val="002958A2"/>
    <w:rsid w:val="0029623E"/>
    <w:rsid w:val="002974AF"/>
    <w:rsid w:val="00297E5A"/>
    <w:rsid w:val="002A0C22"/>
    <w:rsid w:val="002A128C"/>
    <w:rsid w:val="002A1BDC"/>
    <w:rsid w:val="002A232B"/>
    <w:rsid w:val="002A258F"/>
    <w:rsid w:val="002A3431"/>
    <w:rsid w:val="002A3D59"/>
    <w:rsid w:val="002A45EC"/>
    <w:rsid w:val="002A49A1"/>
    <w:rsid w:val="002A5BBA"/>
    <w:rsid w:val="002A5F84"/>
    <w:rsid w:val="002A6DB4"/>
    <w:rsid w:val="002A73CA"/>
    <w:rsid w:val="002A76BE"/>
    <w:rsid w:val="002B1C70"/>
    <w:rsid w:val="002B2449"/>
    <w:rsid w:val="002B2AC8"/>
    <w:rsid w:val="002B2E65"/>
    <w:rsid w:val="002B35AE"/>
    <w:rsid w:val="002B36C1"/>
    <w:rsid w:val="002B3990"/>
    <w:rsid w:val="002B3E1E"/>
    <w:rsid w:val="002B3E66"/>
    <w:rsid w:val="002B47A1"/>
    <w:rsid w:val="002B49A6"/>
    <w:rsid w:val="002B50A1"/>
    <w:rsid w:val="002B54E0"/>
    <w:rsid w:val="002B590B"/>
    <w:rsid w:val="002B6BE8"/>
    <w:rsid w:val="002B6F94"/>
    <w:rsid w:val="002B7EE6"/>
    <w:rsid w:val="002B7F9C"/>
    <w:rsid w:val="002C0209"/>
    <w:rsid w:val="002C1498"/>
    <w:rsid w:val="002C1582"/>
    <w:rsid w:val="002C17C8"/>
    <w:rsid w:val="002C212F"/>
    <w:rsid w:val="002C23D9"/>
    <w:rsid w:val="002C306E"/>
    <w:rsid w:val="002C3C53"/>
    <w:rsid w:val="002C3D7E"/>
    <w:rsid w:val="002C3E3E"/>
    <w:rsid w:val="002C3E92"/>
    <w:rsid w:val="002C4AC2"/>
    <w:rsid w:val="002C4B29"/>
    <w:rsid w:val="002C51C4"/>
    <w:rsid w:val="002C52FF"/>
    <w:rsid w:val="002C769E"/>
    <w:rsid w:val="002D02E4"/>
    <w:rsid w:val="002D051B"/>
    <w:rsid w:val="002D0581"/>
    <w:rsid w:val="002D0593"/>
    <w:rsid w:val="002D0780"/>
    <w:rsid w:val="002D0839"/>
    <w:rsid w:val="002D1023"/>
    <w:rsid w:val="002D194F"/>
    <w:rsid w:val="002D1978"/>
    <w:rsid w:val="002D1E6E"/>
    <w:rsid w:val="002D256D"/>
    <w:rsid w:val="002D3D46"/>
    <w:rsid w:val="002D42D3"/>
    <w:rsid w:val="002D48DD"/>
    <w:rsid w:val="002D5E21"/>
    <w:rsid w:val="002D62A0"/>
    <w:rsid w:val="002E0BE3"/>
    <w:rsid w:val="002E3AF5"/>
    <w:rsid w:val="002E4042"/>
    <w:rsid w:val="002E422A"/>
    <w:rsid w:val="002E44B8"/>
    <w:rsid w:val="002E541E"/>
    <w:rsid w:val="002E5939"/>
    <w:rsid w:val="002E695A"/>
    <w:rsid w:val="002E6F18"/>
    <w:rsid w:val="002F17E0"/>
    <w:rsid w:val="002F1B9C"/>
    <w:rsid w:val="002F33C0"/>
    <w:rsid w:val="002F4A4B"/>
    <w:rsid w:val="002F575B"/>
    <w:rsid w:val="002F64D3"/>
    <w:rsid w:val="002F78A0"/>
    <w:rsid w:val="002F7F06"/>
    <w:rsid w:val="00300757"/>
    <w:rsid w:val="00301275"/>
    <w:rsid w:val="0030156F"/>
    <w:rsid w:val="0030197B"/>
    <w:rsid w:val="00301D55"/>
    <w:rsid w:val="00302143"/>
    <w:rsid w:val="00302521"/>
    <w:rsid w:val="00302623"/>
    <w:rsid w:val="00302625"/>
    <w:rsid w:val="00302C51"/>
    <w:rsid w:val="00302E28"/>
    <w:rsid w:val="00303505"/>
    <w:rsid w:val="00303BFB"/>
    <w:rsid w:val="00303E31"/>
    <w:rsid w:val="0030453F"/>
    <w:rsid w:val="0030552D"/>
    <w:rsid w:val="003069E7"/>
    <w:rsid w:val="00306CC8"/>
    <w:rsid w:val="00307E34"/>
    <w:rsid w:val="00311DAB"/>
    <w:rsid w:val="0031295B"/>
    <w:rsid w:val="00312ADF"/>
    <w:rsid w:val="00313E87"/>
    <w:rsid w:val="00314475"/>
    <w:rsid w:val="0031477F"/>
    <w:rsid w:val="003174DB"/>
    <w:rsid w:val="00317F12"/>
    <w:rsid w:val="00321293"/>
    <w:rsid w:val="00321C00"/>
    <w:rsid w:val="0032275F"/>
    <w:rsid w:val="003227B1"/>
    <w:rsid w:val="003230B8"/>
    <w:rsid w:val="0032325D"/>
    <w:rsid w:val="00324AAF"/>
    <w:rsid w:val="0032524F"/>
    <w:rsid w:val="003257A9"/>
    <w:rsid w:val="00327970"/>
    <w:rsid w:val="003305B3"/>
    <w:rsid w:val="00331212"/>
    <w:rsid w:val="00331397"/>
    <w:rsid w:val="0033150C"/>
    <w:rsid w:val="00331AB0"/>
    <w:rsid w:val="00331D80"/>
    <w:rsid w:val="00332084"/>
    <w:rsid w:val="0033236F"/>
    <w:rsid w:val="003326C6"/>
    <w:rsid w:val="00332890"/>
    <w:rsid w:val="00332A24"/>
    <w:rsid w:val="00332C56"/>
    <w:rsid w:val="003335D8"/>
    <w:rsid w:val="00333E05"/>
    <w:rsid w:val="00333EF5"/>
    <w:rsid w:val="00334B89"/>
    <w:rsid w:val="00334E9D"/>
    <w:rsid w:val="00335DAC"/>
    <w:rsid w:val="0033647C"/>
    <w:rsid w:val="00336C22"/>
    <w:rsid w:val="00340235"/>
    <w:rsid w:val="0034075D"/>
    <w:rsid w:val="00340948"/>
    <w:rsid w:val="00341016"/>
    <w:rsid w:val="00341066"/>
    <w:rsid w:val="003411BC"/>
    <w:rsid w:val="00341E08"/>
    <w:rsid w:val="00342209"/>
    <w:rsid w:val="0034223C"/>
    <w:rsid w:val="00342972"/>
    <w:rsid w:val="00343172"/>
    <w:rsid w:val="0034328D"/>
    <w:rsid w:val="00343494"/>
    <w:rsid w:val="00343F13"/>
    <w:rsid w:val="0034499A"/>
    <w:rsid w:val="00344EDA"/>
    <w:rsid w:val="00344F38"/>
    <w:rsid w:val="003456C5"/>
    <w:rsid w:val="00345BF8"/>
    <w:rsid w:val="003467C1"/>
    <w:rsid w:val="0034740E"/>
    <w:rsid w:val="003506F5"/>
    <w:rsid w:val="00351211"/>
    <w:rsid w:val="00352A74"/>
    <w:rsid w:val="00352DAB"/>
    <w:rsid w:val="0035470F"/>
    <w:rsid w:val="00354B95"/>
    <w:rsid w:val="0035554E"/>
    <w:rsid w:val="003557EC"/>
    <w:rsid w:val="003558B3"/>
    <w:rsid w:val="0035604B"/>
    <w:rsid w:val="00356449"/>
    <w:rsid w:val="00356E26"/>
    <w:rsid w:val="00357120"/>
    <w:rsid w:val="00360F89"/>
    <w:rsid w:val="00361A52"/>
    <w:rsid w:val="00361B3A"/>
    <w:rsid w:val="00362572"/>
    <w:rsid w:val="00363ED3"/>
    <w:rsid w:val="00365255"/>
    <w:rsid w:val="00365761"/>
    <w:rsid w:val="00365DBE"/>
    <w:rsid w:val="00365DF9"/>
    <w:rsid w:val="003666AA"/>
    <w:rsid w:val="00366910"/>
    <w:rsid w:val="003672F0"/>
    <w:rsid w:val="00367423"/>
    <w:rsid w:val="00367610"/>
    <w:rsid w:val="00367F62"/>
    <w:rsid w:val="00372660"/>
    <w:rsid w:val="00372D91"/>
    <w:rsid w:val="00372E29"/>
    <w:rsid w:val="00373019"/>
    <w:rsid w:val="00373057"/>
    <w:rsid w:val="00373817"/>
    <w:rsid w:val="00373D5C"/>
    <w:rsid w:val="0037606C"/>
    <w:rsid w:val="00376676"/>
    <w:rsid w:val="00376B77"/>
    <w:rsid w:val="00377162"/>
    <w:rsid w:val="003777A0"/>
    <w:rsid w:val="003812F5"/>
    <w:rsid w:val="003812F8"/>
    <w:rsid w:val="00381681"/>
    <w:rsid w:val="00381B50"/>
    <w:rsid w:val="00384FEC"/>
    <w:rsid w:val="0038570A"/>
    <w:rsid w:val="0038589D"/>
    <w:rsid w:val="00385DA3"/>
    <w:rsid w:val="00386631"/>
    <w:rsid w:val="003866F7"/>
    <w:rsid w:val="003877B5"/>
    <w:rsid w:val="00387958"/>
    <w:rsid w:val="00387B51"/>
    <w:rsid w:val="00390B45"/>
    <w:rsid w:val="003915EA"/>
    <w:rsid w:val="00392013"/>
    <w:rsid w:val="00392025"/>
    <w:rsid w:val="0039203D"/>
    <w:rsid w:val="00393FC5"/>
    <w:rsid w:val="00394E5D"/>
    <w:rsid w:val="00395633"/>
    <w:rsid w:val="00397130"/>
    <w:rsid w:val="00397318"/>
    <w:rsid w:val="003976BD"/>
    <w:rsid w:val="003976C3"/>
    <w:rsid w:val="003A0EA5"/>
    <w:rsid w:val="003A1CC2"/>
    <w:rsid w:val="003A1F80"/>
    <w:rsid w:val="003A319C"/>
    <w:rsid w:val="003A406A"/>
    <w:rsid w:val="003A4171"/>
    <w:rsid w:val="003A51C3"/>
    <w:rsid w:val="003A53B9"/>
    <w:rsid w:val="003A64BB"/>
    <w:rsid w:val="003A6C50"/>
    <w:rsid w:val="003A72F9"/>
    <w:rsid w:val="003A7A64"/>
    <w:rsid w:val="003B00E8"/>
    <w:rsid w:val="003B0393"/>
    <w:rsid w:val="003B0D16"/>
    <w:rsid w:val="003B10E2"/>
    <w:rsid w:val="003B24D0"/>
    <w:rsid w:val="003B2CEB"/>
    <w:rsid w:val="003B2F41"/>
    <w:rsid w:val="003B3807"/>
    <w:rsid w:val="003B5FEC"/>
    <w:rsid w:val="003B6112"/>
    <w:rsid w:val="003B61B7"/>
    <w:rsid w:val="003B6E90"/>
    <w:rsid w:val="003B74E7"/>
    <w:rsid w:val="003C0144"/>
    <w:rsid w:val="003C1A25"/>
    <w:rsid w:val="003C2151"/>
    <w:rsid w:val="003C2DE1"/>
    <w:rsid w:val="003C48EC"/>
    <w:rsid w:val="003C4CCB"/>
    <w:rsid w:val="003C6969"/>
    <w:rsid w:val="003C76F7"/>
    <w:rsid w:val="003C7B6E"/>
    <w:rsid w:val="003C7C41"/>
    <w:rsid w:val="003D061A"/>
    <w:rsid w:val="003D0CFC"/>
    <w:rsid w:val="003D13BE"/>
    <w:rsid w:val="003D14FF"/>
    <w:rsid w:val="003D15B9"/>
    <w:rsid w:val="003D1D9D"/>
    <w:rsid w:val="003D24BB"/>
    <w:rsid w:val="003D25D9"/>
    <w:rsid w:val="003D26C2"/>
    <w:rsid w:val="003D2769"/>
    <w:rsid w:val="003D2D8F"/>
    <w:rsid w:val="003D3002"/>
    <w:rsid w:val="003D31FF"/>
    <w:rsid w:val="003D3A4D"/>
    <w:rsid w:val="003D3BFD"/>
    <w:rsid w:val="003D3E3C"/>
    <w:rsid w:val="003D593A"/>
    <w:rsid w:val="003D6E46"/>
    <w:rsid w:val="003D709F"/>
    <w:rsid w:val="003E0365"/>
    <w:rsid w:val="003E0C58"/>
    <w:rsid w:val="003E135A"/>
    <w:rsid w:val="003E1C9E"/>
    <w:rsid w:val="003E21B4"/>
    <w:rsid w:val="003E2A59"/>
    <w:rsid w:val="003E2CE6"/>
    <w:rsid w:val="003E3222"/>
    <w:rsid w:val="003E38C7"/>
    <w:rsid w:val="003E3DE0"/>
    <w:rsid w:val="003E452B"/>
    <w:rsid w:val="003E4D20"/>
    <w:rsid w:val="003E5929"/>
    <w:rsid w:val="003E5D06"/>
    <w:rsid w:val="003E755B"/>
    <w:rsid w:val="003E7796"/>
    <w:rsid w:val="003E7937"/>
    <w:rsid w:val="003E7FF3"/>
    <w:rsid w:val="003F03E4"/>
    <w:rsid w:val="003F0C2B"/>
    <w:rsid w:val="003F22D2"/>
    <w:rsid w:val="003F2ED5"/>
    <w:rsid w:val="003F5168"/>
    <w:rsid w:val="003F52B6"/>
    <w:rsid w:val="003F78D5"/>
    <w:rsid w:val="003F7940"/>
    <w:rsid w:val="003F7F09"/>
    <w:rsid w:val="004001AD"/>
    <w:rsid w:val="004002B5"/>
    <w:rsid w:val="00400587"/>
    <w:rsid w:val="00401014"/>
    <w:rsid w:val="00401F88"/>
    <w:rsid w:val="00402569"/>
    <w:rsid w:val="00402816"/>
    <w:rsid w:val="00402FE7"/>
    <w:rsid w:val="00403A5F"/>
    <w:rsid w:val="00403F7E"/>
    <w:rsid w:val="0040448E"/>
    <w:rsid w:val="00405197"/>
    <w:rsid w:val="00405E19"/>
    <w:rsid w:val="004061DF"/>
    <w:rsid w:val="004070FC"/>
    <w:rsid w:val="0040755F"/>
    <w:rsid w:val="00407662"/>
    <w:rsid w:val="00410958"/>
    <w:rsid w:val="00410BC0"/>
    <w:rsid w:val="0041211D"/>
    <w:rsid w:val="00412662"/>
    <w:rsid w:val="00412698"/>
    <w:rsid w:val="00412FAC"/>
    <w:rsid w:val="0041372D"/>
    <w:rsid w:val="00413DA1"/>
    <w:rsid w:val="00414A33"/>
    <w:rsid w:val="00414BA2"/>
    <w:rsid w:val="00415213"/>
    <w:rsid w:val="00415374"/>
    <w:rsid w:val="004168C2"/>
    <w:rsid w:val="00416DB4"/>
    <w:rsid w:val="00420450"/>
    <w:rsid w:val="004206B6"/>
    <w:rsid w:val="00420789"/>
    <w:rsid w:val="00421C7B"/>
    <w:rsid w:val="00421D4A"/>
    <w:rsid w:val="00422D67"/>
    <w:rsid w:val="00424941"/>
    <w:rsid w:val="00424CD9"/>
    <w:rsid w:val="0042503D"/>
    <w:rsid w:val="00425CC0"/>
    <w:rsid w:val="00425D5E"/>
    <w:rsid w:val="00425DF8"/>
    <w:rsid w:val="00426C74"/>
    <w:rsid w:val="00426D5A"/>
    <w:rsid w:val="00427374"/>
    <w:rsid w:val="00427585"/>
    <w:rsid w:val="004278C4"/>
    <w:rsid w:val="0043038E"/>
    <w:rsid w:val="0043114E"/>
    <w:rsid w:val="00431760"/>
    <w:rsid w:val="00432811"/>
    <w:rsid w:val="004333C3"/>
    <w:rsid w:val="00434187"/>
    <w:rsid w:val="00434583"/>
    <w:rsid w:val="004372D3"/>
    <w:rsid w:val="004373E6"/>
    <w:rsid w:val="004378BB"/>
    <w:rsid w:val="00437EB5"/>
    <w:rsid w:val="00440A5D"/>
    <w:rsid w:val="00440D49"/>
    <w:rsid w:val="0044160E"/>
    <w:rsid w:val="00443B5C"/>
    <w:rsid w:val="00444BD3"/>
    <w:rsid w:val="00444CDD"/>
    <w:rsid w:val="00445782"/>
    <w:rsid w:val="00445C10"/>
    <w:rsid w:val="00445F68"/>
    <w:rsid w:val="004505F1"/>
    <w:rsid w:val="00450825"/>
    <w:rsid w:val="004508E2"/>
    <w:rsid w:val="00450919"/>
    <w:rsid w:val="00450EFC"/>
    <w:rsid w:val="00451C4D"/>
    <w:rsid w:val="004521C0"/>
    <w:rsid w:val="00452F7A"/>
    <w:rsid w:val="004534B4"/>
    <w:rsid w:val="004535B7"/>
    <w:rsid w:val="0045412C"/>
    <w:rsid w:val="00454B1A"/>
    <w:rsid w:val="00454BBD"/>
    <w:rsid w:val="004555A0"/>
    <w:rsid w:val="00455BAA"/>
    <w:rsid w:val="004567BB"/>
    <w:rsid w:val="00456FC8"/>
    <w:rsid w:val="00457906"/>
    <w:rsid w:val="00457BD4"/>
    <w:rsid w:val="0046046F"/>
    <w:rsid w:val="004607B9"/>
    <w:rsid w:val="00460EB8"/>
    <w:rsid w:val="00461314"/>
    <w:rsid w:val="00461496"/>
    <w:rsid w:val="004629CA"/>
    <w:rsid w:val="00463404"/>
    <w:rsid w:val="00463521"/>
    <w:rsid w:val="00463F6D"/>
    <w:rsid w:val="00464423"/>
    <w:rsid w:val="00464C4C"/>
    <w:rsid w:val="00465FCA"/>
    <w:rsid w:val="00466376"/>
    <w:rsid w:val="00467E76"/>
    <w:rsid w:val="0047030A"/>
    <w:rsid w:val="004709B6"/>
    <w:rsid w:val="0047148D"/>
    <w:rsid w:val="00471C67"/>
    <w:rsid w:val="00473592"/>
    <w:rsid w:val="0047366B"/>
    <w:rsid w:val="00474AFC"/>
    <w:rsid w:val="004760DA"/>
    <w:rsid w:val="00476380"/>
    <w:rsid w:val="00477EE3"/>
    <w:rsid w:val="00480353"/>
    <w:rsid w:val="00480DC3"/>
    <w:rsid w:val="004819A6"/>
    <w:rsid w:val="00482445"/>
    <w:rsid w:val="004838F0"/>
    <w:rsid w:val="004853DD"/>
    <w:rsid w:val="004856AF"/>
    <w:rsid w:val="00486EF0"/>
    <w:rsid w:val="00487400"/>
    <w:rsid w:val="00487716"/>
    <w:rsid w:val="004879CF"/>
    <w:rsid w:val="00487FD4"/>
    <w:rsid w:val="00490402"/>
    <w:rsid w:val="00490728"/>
    <w:rsid w:val="004918EC"/>
    <w:rsid w:val="00492AEB"/>
    <w:rsid w:val="00494169"/>
    <w:rsid w:val="00494CC4"/>
    <w:rsid w:val="00494EFF"/>
    <w:rsid w:val="004955F4"/>
    <w:rsid w:val="0049579B"/>
    <w:rsid w:val="00495C80"/>
    <w:rsid w:val="00497AE4"/>
    <w:rsid w:val="004A277A"/>
    <w:rsid w:val="004A2824"/>
    <w:rsid w:val="004A3530"/>
    <w:rsid w:val="004A3A39"/>
    <w:rsid w:val="004A3E9C"/>
    <w:rsid w:val="004A456C"/>
    <w:rsid w:val="004A47F5"/>
    <w:rsid w:val="004A48C0"/>
    <w:rsid w:val="004A55AD"/>
    <w:rsid w:val="004A5BA0"/>
    <w:rsid w:val="004A5CD7"/>
    <w:rsid w:val="004A5DEB"/>
    <w:rsid w:val="004B04E3"/>
    <w:rsid w:val="004B0642"/>
    <w:rsid w:val="004B208B"/>
    <w:rsid w:val="004B212F"/>
    <w:rsid w:val="004B21A7"/>
    <w:rsid w:val="004B2772"/>
    <w:rsid w:val="004B2E24"/>
    <w:rsid w:val="004B3A56"/>
    <w:rsid w:val="004B4DDE"/>
    <w:rsid w:val="004B4E7E"/>
    <w:rsid w:val="004B55FF"/>
    <w:rsid w:val="004B564E"/>
    <w:rsid w:val="004B5F5C"/>
    <w:rsid w:val="004B753E"/>
    <w:rsid w:val="004B76A9"/>
    <w:rsid w:val="004B7C0C"/>
    <w:rsid w:val="004B7F0C"/>
    <w:rsid w:val="004C0BAA"/>
    <w:rsid w:val="004C143E"/>
    <w:rsid w:val="004C1F93"/>
    <w:rsid w:val="004C202B"/>
    <w:rsid w:val="004C3A9C"/>
    <w:rsid w:val="004C4341"/>
    <w:rsid w:val="004C4839"/>
    <w:rsid w:val="004C4AB0"/>
    <w:rsid w:val="004C53A9"/>
    <w:rsid w:val="004C5CDA"/>
    <w:rsid w:val="004C7705"/>
    <w:rsid w:val="004C7C8B"/>
    <w:rsid w:val="004D013F"/>
    <w:rsid w:val="004D059E"/>
    <w:rsid w:val="004D1EE9"/>
    <w:rsid w:val="004D1FFE"/>
    <w:rsid w:val="004D219D"/>
    <w:rsid w:val="004D27F2"/>
    <w:rsid w:val="004D3EBC"/>
    <w:rsid w:val="004D40CE"/>
    <w:rsid w:val="004D438E"/>
    <w:rsid w:val="004D43B3"/>
    <w:rsid w:val="004D43D3"/>
    <w:rsid w:val="004D4888"/>
    <w:rsid w:val="004D4B94"/>
    <w:rsid w:val="004D4F0B"/>
    <w:rsid w:val="004D51BF"/>
    <w:rsid w:val="004D5468"/>
    <w:rsid w:val="004D7974"/>
    <w:rsid w:val="004E0C59"/>
    <w:rsid w:val="004E111F"/>
    <w:rsid w:val="004E1A58"/>
    <w:rsid w:val="004E2923"/>
    <w:rsid w:val="004E2C05"/>
    <w:rsid w:val="004E33BF"/>
    <w:rsid w:val="004E4330"/>
    <w:rsid w:val="004E496E"/>
    <w:rsid w:val="004E4981"/>
    <w:rsid w:val="004E6E16"/>
    <w:rsid w:val="004E7462"/>
    <w:rsid w:val="004E7A10"/>
    <w:rsid w:val="004E7AA5"/>
    <w:rsid w:val="004F1008"/>
    <w:rsid w:val="004F1B1A"/>
    <w:rsid w:val="004F2D68"/>
    <w:rsid w:val="004F347C"/>
    <w:rsid w:val="004F3EFD"/>
    <w:rsid w:val="004F402E"/>
    <w:rsid w:val="004F4DC8"/>
    <w:rsid w:val="004F5943"/>
    <w:rsid w:val="004F5AF0"/>
    <w:rsid w:val="004F5FFB"/>
    <w:rsid w:val="004F6A7D"/>
    <w:rsid w:val="004F7C0F"/>
    <w:rsid w:val="0050184C"/>
    <w:rsid w:val="005018AA"/>
    <w:rsid w:val="005021B1"/>
    <w:rsid w:val="00503039"/>
    <w:rsid w:val="005037BF"/>
    <w:rsid w:val="0050399B"/>
    <w:rsid w:val="00504760"/>
    <w:rsid w:val="00505BA0"/>
    <w:rsid w:val="005066C1"/>
    <w:rsid w:val="005072D8"/>
    <w:rsid w:val="0050775B"/>
    <w:rsid w:val="005079F8"/>
    <w:rsid w:val="0051027E"/>
    <w:rsid w:val="00510366"/>
    <w:rsid w:val="005106DB"/>
    <w:rsid w:val="00510D19"/>
    <w:rsid w:val="00511E3E"/>
    <w:rsid w:val="00514344"/>
    <w:rsid w:val="00514D12"/>
    <w:rsid w:val="005157D5"/>
    <w:rsid w:val="00515947"/>
    <w:rsid w:val="00515C92"/>
    <w:rsid w:val="00516599"/>
    <w:rsid w:val="00516C66"/>
    <w:rsid w:val="00517EEC"/>
    <w:rsid w:val="00521949"/>
    <w:rsid w:val="00522AE3"/>
    <w:rsid w:val="00522DAB"/>
    <w:rsid w:val="0052315D"/>
    <w:rsid w:val="00523A4C"/>
    <w:rsid w:val="005247F5"/>
    <w:rsid w:val="005254F7"/>
    <w:rsid w:val="00526F0D"/>
    <w:rsid w:val="00527EFF"/>
    <w:rsid w:val="005302AD"/>
    <w:rsid w:val="00530ED6"/>
    <w:rsid w:val="00531589"/>
    <w:rsid w:val="00532A1D"/>
    <w:rsid w:val="00534864"/>
    <w:rsid w:val="00534E4A"/>
    <w:rsid w:val="0053559F"/>
    <w:rsid w:val="00536067"/>
    <w:rsid w:val="00536E54"/>
    <w:rsid w:val="005370EC"/>
    <w:rsid w:val="005402AC"/>
    <w:rsid w:val="00540E89"/>
    <w:rsid w:val="00541004"/>
    <w:rsid w:val="00541633"/>
    <w:rsid w:val="00541CB8"/>
    <w:rsid w:val="00542FB0"/>
    <w:rsid w:val="00543A66"/>
    <w:rsid w:val="0054441F"/>
    <w:rsid w:val="00544E55"/>
    <w:rsid w:val="00545BB9"/>
    <w:rsid w:val="00545C44"/>
    <w:rsid w:val="00546010"/>
    <w:rsid w:val="00546150"/>
    <w:rsid w:val="00546883"/>
    <w:rsid w:val="00547FF8"/>
    <w:rsid w:val="005501C9"/>
    <w:rsid w:val="00550861"/>
    <w:rsid w:val="00550FBF"/>
    <w:rsid w:val="00552372"/>
    <w:rsid w:val="00552A18"/>
    <w:rsid w:val="00553EA9"/>
    <w:rsid w:val="0055488C"/>
    <w:rsid w:val="00554BB8"/>
    <w:rsid w:val="005554D6"/>
    <w:rsid w:val="0055589F"/>
    <w:rsid w:val="0055593B"/>
    <w:rsid w:val="00556142"/>
    <w:rsid w:val="005567E6"/>
    <w:rsid w:val="0056072E"/>
    <w:rsid w:val="005608DF"/>
    <w:rsid w:val="005609D4"/>
    <w:rsid w:val="00560E63"/>
    <w:rsid w:val="00560FFC"/>
    <w:rsid w:val="005621AE"/>
    <w:rsid w:val="005624F0"/>
    <w:rsid w:val="00562858"/>
    <w:rsid w:val="00563F20"/>
    <w:rsid w:val="00564BEB"/>
    <w:rsid w:val="00566AC8"/>
    <w:rsid w:val="005674D8"/>
    <w:rsid w:val="005677CB"/>
    <w:rsid w:val="0057008C"/>
    <w:rsid w:val="00570A99"/>
    <w:rsid w:val="00571000"/>
    <w:rsid w:val="00571146"/>
    <w:rsid w:val="005713DD"/>
    <w:rsid w:val="00572508"/>
    <w:rsid w:val="00572592"/>
    <w:rsid w:val="005725C5"/>
    <w:rsid w:val="00572698"/>
    <w:rsid w:val="005730EF"/>
    <w:rsid w:val="00574250"/>
    <w:rsid w:val="00574545"/>
    <w:rsid w:val="00574891"/>
    <w:rsid w:val="00574E37"/>
    <w:rsid w:val="0057548D"/>
    <w:rsid w:val="005758BC"/>
    <w:rsid w:val="00576560"/>
    <w:rsid w:val="0058003E"/>
    <w:rsid w:val="00580A62"/>
    <w:rsid w:val="005817B7"/>
    <w:rsid w:val="00581A0F"/>
    <w:rsid w:val="00582BCC"/>
    <w:rsid w:val="005834B3"/>
    <w:rsid w:val="005835EF"/>
    <w:rsid w:val="00583DED"/>
    <w:rsid w:val="00584344"/>
    <w:rsid w:val="00584B02"/>
    <w:rsid w:val="00585261"/>
    <w:rsid w:val="0058652C"/>
    <w:rsid w:val="00586922"/>
    <w:rsid w:val="00586CAA"/>
    <w:rsid w:val="00586F25"/>
    <w:rsid w:val="00587134"/>
    <w:rsid w:val="00587DE0"/>
    <w:rsid w:val="00590514"/>
    <w:rsid w:val="00590870"/>
    <w:rsid w:val="00591091"/>
    <w:rsid w:val="00591A9D"/>
    <w:rsid w:val="00592770"/>
    <w:rsid w:val="00592E95"/>
    <w:rsid w:val="005933FB"/>
    <w:rsid w:val="0059364E"/>
    <w:rsid w:val="00594599"/>
    <w:rsid w:val="005946F4"/>
    <w:rsid w:val="00595B12"/>
    <w:rsid w:val="005978F7"/>
    <w:rsid w:val="00597A64"/>
    <w:rsid w:val="00597D46"/>
    <w:rsid w:val="005A0097"/>
    <w:rsid w:val="005A012A"/>
    <w:rsid w:val="005A129D"/>
    <w:rsid w:val="005A1E26"/>
    <w:rsid w:val="005A20D9"/>
    <w:rsid w:val="005A23E5"/>
    <w:rsid w:val="005A2421"/>
    <w:rsid w:val="005A2503"/>
    <w:rsid w:val="005A28DC"/>
    <w:rsid w:val="005A3851"/>
    <w:rsid w:val="005A3F3C"/>
    <w:rsid w:val="005A4447"/>
    <w:rsid w:val="005A5FD6"/>
    <w:rsid w:val="005A6298"/>
    <w:rsid w:val="005A65B0"/>
    <w:rsid w:val="005A6942"/>
    <w:rsid w:val="005A6C55"/>
    <w:rsid w:val="005A74BC"/>
    <w:rsid w:val="005B078C"/>
    <w:rsid w:val="005B1E2F"/>
    <w:rsid w:val="005B2251"/>
    <w:rsid w:val="005B2711"/>
    <w:rsid w:val="005B2A3D"/>
    <w:rsid w:val="005B2D44"/>
    <w:rsid w:val="005B368E"/>
    <w:rsid w:val="005B3C8E"/>
    <w:rsid w:val="005B41B4"/>
    <w:rsid w:val="005B41FD"/>
    <w:rsid w:val="005B517B"/>
    <w:rsid w:val="005B529A"/>
    <w:rsid w:val="005B5743"/>
    <w:rsid w:val="005B5BC6"/>
    <w:rsid w:val="005B66E9"/>
    <w:rsid w:val="005B76B6"/>
    <w:rsid w:val="005B7753"/>
    <w:rsid w:val="005B78F1"/>
    <w:rsid w:val="005C05BE"/>
    <w:rsid w:val="005C246B"/>
    <w:rsid w:val="005C3C7A"/>
    <w:rsid w:val="005C45CF"/>
    <w:rsid w:val="005C4C8F"/>
    <w:rsid w:val="005C6403"/>
    <w:rsid w:val="005C6534"/>
    <w:rsid w:val="005C7D4D"/>
    <w:rsid w:val="005D05B8"/>
    <w:rsid w:val="005D06A6"/>
    <w:rsid w:val="005D126B"/>
    <w:rsid w:val="005D15FE"/>
    <w:rsid w:val="005D1CF6"/>
    <w:rsid w:val="005D1FE1"/>
    <w:rsid w:val="005D23A8"/>
    <w:rsid w:val="005D2C2A"/>
    <w:rsid w:val="005D30E0"/>
    <w:rsid w:val="005D325A"/>
    <w:rsid w:val="005D32AB"/>
    <w:rsid w:val="005D348F"/>
    <w:rsid w:val="005D36E9"/>
    <w:rsid w:val="005D404F"/>
    <w:rsid w:val="005D40B0"/>
    <w:rsid w:val="005D4129"/>
    <w:rsid w:val="005D4C85"/>
    <w:rsid w:val="005D665D"/>
    <w:rsid w:val="005D6ED9"/>
    <w:rsid w:val="005D78DE"/>
    <w:rsid w:val="005D7EB4"/>
    <w:rsid w:val="005E0775"/>
    <w:rsid w:val="005E1279"/>
    <w:rsid w:val="005E1BA3"/>
    <w:rsid w:val="005E22EF"/>
    <w:rsid w:val="005E2394"/>
    <w:rsid w:val="005E23AB"/>
    <w:rsid w:val="005E2501"/>
    <w:rsid w:val="005E2F9D"/>
    <w:rsid w:val="005E3277"/>
    <w:rsid w:val="005E3281"/>
    <w:rsid w:val="005E5445"/>
    <w:rsid w:val="005E67E4"/>
    <w:rsid w:val="005E7422"/>
    <w:rsid w:val="005E7B96"/>
    <w:rsid w:val="005E7F60"/>
    <w:rsid w:val="005F1D7E"/>
    <w:rsid w:val="005F2305"/>
    <w:rsid w:val="005F280C"/>
    <w:rsid w:val="005F2E82"/>
    <w:rsid w:val="005F3E58"/>
    <w:rsid w:val="005F470F"/>
    <w:rsid w:val="005F47AA"/>
    <w:rsid w:val="005F4B49"/>
    <w:rsid w:val="005F54CD"/>
    <w:rsid w:val="005F6870"/>
    <w:rsid w:val="005F6EB3"/>
    <w:rsid w:val="005F7D9B"/>
    <w:rsid w:val="00600433"/>
    <w:rsid w:val="00600F6F"/>
    <w:rsid w:val="00600FCC"/>
    <w:rsid w:val="006010B8"/>
    <w:rsid w:val="00601927"/>
    <w:rsid w:val="0060264C"/>
    <w:rsid w:val="006034A9"/>
    <w:rsid w:val="00603626"/>
    <w:rsid w:val="0060397B"/>
    <w:rsid w:val="00604B1A"/>
    <w:rsid w:val="00605596"/>
    <w:rsid w:val="00605895"/>
    <w:rsid w:val="0060637A"/>
    <w:rsid w:val="00606956"/>
    <w:rsid w:val="00607058"/>
    <w:rsid w:val="006103D2"/>
    <w:rsid w:val="00611601"/>
    <w:rsid w:val="006116F1"/>
    <w:rsid w:val="00611BF8"/>
    <w:rsid w:val="00612D04"/>
    <w:rsid w:val="00613720"/>
    <w:rsid w:val="00613B7D"/>
    <w:rsid w:val="00614033"/>
    <w:rsid w:val="0061417D"/>
    <w:rsid w:val="00614E31"/>
    <w:rsid w:val="00616425"/>
    <w:rsid w:val="00616EA8"/>
    <w:rsid w:val="00620F9E"/>
    <w:rsid w:val="00621DDA"/>
    <w:rsid w:val="006227A1"/>
    <w:rsid w:val="006235D5"/>
    <w:rsid w:val="00623A71"/>
    <w:rsid w:val="00623CC3"/>
    <w:rsid w:val="006240DA"/>
    <w:rsid w:val="006241EC"/>
    <w:rsid w:val="0062486B"/>
    <w:rsid w:val="00624C94"/>
    <w:rsid w:val="0062634C"/>
    <w:rsid w:val="00626859"/>
    <w:rsid w:val="006269BB"/>
    <w:rsid w:val="00627B25"/>
    <w:rsid w:val="00630AEE"/>
    <w:rsid w:val="00630DDD"/>
    <w:rsid w:val="00631578"/>
    <w:rsid w:val="00631B07"/>
    <w:rsid w:val="006326F0"/>
    <w:rsid w:val="00632726"/>
    <w:rsid w:val="00633442"/>
    <w:rsid w:val="006349A3"/>
    <w:rsid w:val="006353D4"/>
    <w:rsid w:val="006354CD"/>
    <w:rsid w:val="00636A1D"/>
    <w:rsid w:val="00637A2D"/>
    <w:rsid w:val="00640274"/>
    <w:rsid w:val="006410F2"/>
    <w:rsid w:val="006423D6"/>
    <w:rsid w:val="006439C6"/>
    <w:rsid w:val="00644E3D"/>
    <w:rsid w:val="00646280"/>
    <w:rsid w:val="006468D0"/>
    <w:rsid w:val="006469E4"/>
    <w:rsid w:val="006475A2"/>
    <w:rsid w:val="006476C2"/>
    <w:rsid w:val="00647769"/>
    <w:rsid w:val="00650FAD"/>
    <w:rsid w:val="0065235F"/>
    <w:rsid w:val="00653094"/>
    <w:rsid w:val="0065379D"/>
    <w:rsid w:val="00655118"/>
    <w:rsid w:val="006559C6"/>
    <w:rsid w:val="00656078"/>
    <w:rsid w:val="00656DB9"/>
    <w:rsid w:val="006574BA"/>
    <w:rsid w:val="006574D9"/>
    <w:rsid w:val="006600C2"/>
    <w:rsid w:val="00660726"/>
    <w:rsid w:val="00660750"/>
    <w:rsid w:val="00661D3B"/>
    <w:rsid w:val="006625C7"/>
    <w:rsid w:val="00662E97"/>
    <w:rsid w:val="006632AE"/>
    <w:rsid w:val="0066336F"/>
    <w:rsid w:val="00663458"/>
    <w:rsid w:val="00663610"/>
    <w:rsid w:val="006636E1"/>
    <w:rsid w:val="00664F12"/>
    <w:rsid w:val="00665DE5"/>
    <w:rsid w:val="00665F54"/>
    <w:rsid w:val="00666335"/>
    <w:rsid w:val="006664EF"/>
    <w:rsid w:val="00670DD1"/>
    <w:rsid w:val="0067140D"/>
    <w:rsid w:val="00671EAB"/>
    <w:rsid w:val="00671F60"/>
    <w:rsid w:val="00672FD9"/>
    <w:rsid w:val="006733C2"/>
    <w:rsid w:val="006737E4"/>
    <w:rsid w:val="00674B2B"/>
    <w:rsid w:val="00674DF7"/>
    <w:rsid w:val="006751EE"/>
    <w:rsid w:val="00675796"/>
    <w:rsid w:val="0067777C"/>
    <w:rsid w:val="00680057"/>
    <w:rsid w:val="006810ED"/>
    <w:rsid w:val="006826E0"/>
    <w:rsid w:val="00682C54"/>
    <w:rsid w:val="00682D4A"/>
    <w:rsid w:val="00683B2A"/>
    <w:rsid w:val="00683BCD"/>
    <w:rsid w:val="006841A9"/>
    <w:rsid w:val="00684658"/>
    <w:rsid w:val="00685345"/>
    <w:rsid w:val="00686343"/>
    <w:rsid w:val="0068657C"/>
    <w:rsid w:val="006868B2"/>
    <w:rsid w:val="00686E4D"/>
    <w:rsid w:val="00686F4D"/>
    <w:rsid w:val="006877FE"/>
    <w:rsid w:val="00690516"/>
    <w:rsid w:val="0069089D"/>
    <w:rsid w:val="00691D0E"/>
    <w:rsid w:val="00691FEE"/>
    <w:rsid w:val="00692199"/>
    <w:rsid w:val="00693510"/>
    <w:rsid w:val="00693535"/>
    <w:rsid w:val="00693DB7"/>
    <w:rsid w:val="00694880"/>
    <w:rsid w:val="006956E6"/>
    <w:rsid w:val="00695C78"/>
    <w:rsid w:val="0069673D"/>
    <w:rsid w:val="006A02A9"/>
    <w:rsid w:val="006A06BD"/>
    <w:rsid w:val="006A08B0"/>
    <w:rsid w:val="006A1171"/>
    <w:rsid w:val="006A2B02"/>
    <w:rsid w:val="006A389E"/>
    <w:rsid w:val="006A4BF4"/>
    <w:rsid w:val="006A51A7"/>
    <w:rsid w:val="006A5A8E"/>
    <w:rsid w:val="006A6A6D"/>
    <w:rsid w:val="006A6AE2"/>
    <w:rsid w:val="006A7441"/>
    <w:rsid w:val="006A7FB3"/>
    <w:rsid w:val="006B034F"/>
    <w:rsid w:val="006B0A12"/>
    <w:rsid w:val="006B0ED6"/>
    <w:rsid w:val="006B176C"/>
    <w:rsid w:val="006B1962"/>
    <w:rsid w:val="006B1F24"/>
    <w:rsid w:val="006B264F"/>
    <w:rsid w:val="006B3054"/>
    <w:rsid w:val="006B3513"/>
    <w:rsid w:val="006B38B2"/>
    <w:rsid w:val="006B4997"/>
    <w:rsid w:val="006B4E86"/>
    <w:rsid w:val="006B54CF"/>
    <w:rsid w:val="006B63D1"/>
    <w:rsid w:val="006B7074"/>
    <w:rsid w:val="006B736C"/>
    <w:rsid w:val="006B7C83"/>
    <w:rsid w:val="006C0762"/>
    <w:rsid w:val="006C153E"/>
    <w:rsid w:val="006C1811"/>
    <w:rsid w:val="006C1E4C"/>
    <w:rsid w:val="006C35BD"/>
    <w:rsid w:val="006C52B9"/>
    <w:rsid w:val="006C5358"/>
    <w:rsid w:val="006C6919"/>
    <w:rsid w:val="006C7534"/>
    <w:rsid w:val="006C7B3D"/>
    <w:rsid w:val="006C7FAB"/>
    <w:rsid w:val="006D0708"/>
    <w:rsid w:val="006D0C18"/>
    <w:rsid w:val="006D0C8A"/>
    <w:rsid w:val="006D1907"/>
    <w:rsid w:val="006D2156"/>
    <w:rsid w:val="006D36BA"/>
    <w:rsid w:val="006D3F81"/>
    <w:rsid w:val="006D5E45"/>
    <w:rsid w:val="006D6315"/>
    <w:rsid w:val="006D6456"/>
    <w:rsid w:val="006D694A"/>
    <w:rsid w:val="006D69A9"/>
    <w:rsid w:val="006D724A"/>
    <w:rsid w:val="006D7C82"/>
    <w:rsid w:val="006E05EB"/>
    <w:rsid w:val="006E0B1B"/>
    <w:rsid w:val="006E0CD6"/>
    <w:rsid w:val="006E0F19"/>
    <w:rsid w:val="006E0FA3"/>
    <w:rsid w:val="006E19D2"/>
    <w:rsid w:val="006E1DBB"/>
    <w:rsid w:val="006E1E15"/>
    <w:rsid w:val="006E45AB"/>
    <w:rsid w:val="006E4BC4"/>
    <w:rsid w:val="006E55C2"/>
    <w:rsid w:val="006E6440"/>
    <w:rsid w:val="006E78B4"/>
    <w:rsid w:val="006F00C0"/>
    <w:rsid w:val="006F0E7B"/>
    <w:rsid w:val="006F1197"/>
    <w:rsid w:val="006F13A1"/>
    <w:rsid w:val="006F1878"/>
    <w:rsid w:val="006F1D2B"/>
    <w:rsid w:val="006F2535"/>
    <w:rsid w:val="006F3280"/>
    <w:rsid w:val="006F4070"/>
    <w:rsid w:val="006F4856"/>
    <w:rsid w:val="006F4D3D"/>
    <w:rsid w:val="006F5373"/>
    <w:rsid w:val="006F5649"/>
    <w:rsid w:val="006F5879"/>
    <w:rsid w:val="006F6E08"/>
    <w:rsid w:val="00700106"/>
    <w:rsid w:val="007007BF"/>
    <w:rsid w:val="00700ABC"/>
    <w:rsid w:val="00700F48"/>
    <w:rsid w:val="00702A8B"/>
    <w:rsid w:val="0070362D"/>
    <w:rsid w:val="00703713"/>
    <w:rsid w:val="00704B80"/>
    <w:rsid w:val="00704EF8"/>
    <w:rsid w:val="007051AC"/>
    <w:rsid w:val="00705C2F"/>
    <w:rsid w:val="00707206"/>
    <w:rsid w:val="0070735F"/>
    <w:rsid w:val="00707847"/>
    <w:rsid w:val="00710F49"/>
    <w:rsid w:val="007116F1"/>
    <w:rsid w:val="00711A6E"/>
    <w:rsid w:val="00711CA2"/>
    <w:rsid w:val="00712018"/>
    <w:rsid w:val="00712188"/>
    <w:rsid w:val="00712BB3"/>
    <w:rsid w:val="00712DD6"/>
    <w:rsid w:val="00713E3B"/>
    <w:rsid w:val="007151DA"/>
    <w:rsid w:val="00715901"/>
    <w:rsid w:val="007162DC"/>
    <w:rsid w:val="00716F25"/>
    <w:rsid w:val="0072028B"/>
    <w:rsid w:val="00720410"/>
    <w:rsid w:val="00721A79"/>
    <w:rsid w:val="007232D3"/>
    <w:rsid w:val="00723413"/>
    <w:rsid w:val="00723E1F"/>
    <w:rsid w:val="0072409C"/>
    <w:rsid w:val="007243C6"/>
    <w:rsid w:val="007256FF"/>
    <w:rsid w:val="00725892"/>
    <w:rsid w:val="007258D1"/>
    <w:rsid w:val="00725C33"/>
    <w:rsid w:val="00725D9F"/>
    <w:rsid w:val="00726DBB"/>
    <w:rsid w:val="00726E97"/>
    <w:rsid w:val="00727671"/>
    <w:rsid w:val="00727B3A"/>
    <w:rsid w:val="00730DC5"/>
    <w:rsid w:val="007333A4"/>
    <w:rsid w:val="00733672"/>
    <w:rsid w:val="00733E3F"/>
    <w:rsid w:val="00734131"/>
    <w:rsid w:val="00734A4B"/>
    <w:rsid w:val="00735A6C"/>
    <w:rsid w:val="00735B5A"/>
    <w:rsid w:val="00736D82"/>
    <w:rsid w:val="00740048"/>
    <w:rsid w:val="00740424"/>
    <w:rsid w:val="00740C7E"/>
    <w:rsid w:val="00741307"/>
    <w:rsid w:val="00741C0F"/>
    <w:rsid w:val="00743507"/>
    <w:rsid w:val="00743CDF"/>
    <w:rsid w:val="007445CA"/>
    <w:rsid w:val="00744ADF"/>
    <w:rsid w:val="00744F09"/>
    <w:rsid w:val="00744F6C"/>
    <w:rsid w:val="00744FF9"/>
    <w:rsid w:val="00745178"/>
    <w:rsid w:val="00746E02"/>
    <w:rsid w:val="00747507"/>
    <w:rsid w:val="0074761C"/>
    <w:rsid w:val="00747CCF"/>
    <w:rsid w:val="00750F9B"/>
    <w:rsid w:val="00751546"/>
    <w:rsid w:val="00752F0D"/>
    <w:rsid w:val="00753D26"/>
    <w:rsid w:val="0075444B"/>
    <w:rsid w:val="0075450D"/>
    <w:rsid w:val="0075468F"/>
    <w:rsid w:val="0075479E"/>
    <w:rsid w:val="00754DCD"/>
    <w:rsid w:val="007550BB"/>
    <w:rsid w:val="0075525C"/>
    <w:rsid w:val="00756500"/>
    <w:rsid w:val="0075755B"/>
    <w:rsid w:val="00760CB5"/>
    <w:rsid w:val="00762027"/>
    <w:rsid w:val="00762081"/>
    <w:rsid w:val="007622A2"/>
    <w:rsid w:val="007628B3"/>
    <w:rsid w:val="00763903"/>
    <w:rsid w:val="00764791"/>
    <w:rsid w:val="0076492B"/>
    <w:rsid w:val="00764AE0"/>
    <w:rsid w:val="007655AD"/>
    <w:rsid w:val="00766C01"/>
    <w:rsid w:val="007674CA"/>
    <w:rsid w:val="00770512"/>
    <w:rsid w:val="00770742"/>
    <w:rsid w:val="0077199E"/>
    <w:rsid w:val="00771B78"/>
    <w:rsid w:val="00771E98"/>
    <w:rsid w:val="007726FC"/>
    <w:rsid w:val="00772ACD"/>
    <w:rsid w:val="007731F0"/>
    <w:rsid w:val="007746EA"/>
    <w:rsid w:val="007762D7"/>
    <w:rsid w:val="0077637B"/>
    <w:rsid w:val="007768F1"/>
    <w:rsid w:val="00776AEB"/>
    <w:rsid w:val="00777206"/>
    <w:rsid w:val="00777478"/>
    <w:rsid w:val="007779D2"/>
    <w:rsid w:val="00777D98"/>
    <w:rsid w:val="0078118A"/>
    <w:rsid w:val="007817FE"/>
    <w:rsid w:val="007836AB"/>
    <w:rsid w:val="00783B07"/>
    <w:rsid w:val="00784946"/>
    <w:rsid w:val="00784EE9"/>
    <w:rsid w:val="007850B7"/>
    <w:rsid w:val="007856F2"/>
    <w:rsid w:val="007856F8"/>
    <w:rsid w:val="007864E5"/>
    <w:rsid w:val="007868D7"/>
    <w:rsid w:val="00786D30"/>
    <w:rsid w:val="007900AB"/>
    <w:rsid w:val="007918B4"/>
    <w:rsid w:val="00791BB8"/>
    <w:rsid w:val="007922EA"/>
    <w:rsid w:val="0079419C"/>
    <w:rsid w:val="00794648"/>
    <w:rsid w:val="00794C4C"/>
    <w:rsid w:val="00794FD5"/>
    <w:rsid w:val="00795EE5"/>
    <w:rsid w:val="0079624F"/>
    <w:rsid w:val="007962F2"/>
    <w:rsid w:val="007965AC"/>
    <w:rsid w:val="00796AF6"/>
    <w:rsid w:val="00797C43"/>
    <w:rsid w:val="007A0396"/>
    <w:rsid w:val="007A0723"/>
    <w:rsid w:val="007A1D65"/>
    <w:rsid w:val="007A1F06"/>
    <w:rsid w:val="007A2B51"/>
    <w:rsid w:val="007A3346"/>
    <w:rsid w:val="007A3350"/>
    <w:rsid w:val="007A4ADF"/>
    <w:rsid w:val="007A6B04"/>
    <w:rsid w:val="007A6C58"/>
    <w:rsid w:val="007A6CBC"/>
    <w:rsid w:val="007B082A"/>
    <w:rsid w:val="007B0B7A"/>
    <w:rsid w:val="007B0F05"/>
    <w:rsid w:val="007B17CE"/>
    <w:rsid w:val="007B1D3B"/>
    <w:rsid w:val="007B2CD9"/>
    <w:rsid w:val="007B33B5"/>
    <w:rsid w:val="007B349B"/>
    <w:rsid w:val="007B3D4B"/>
    <w:rsid w:val="007B477B"/>
    <w:rsid w:val="007B4C51"/>
    <w:rsid w:val="007B539A"/>
    <w:rsid w:val="007B5757"/>
    <w:rsid w:val="007B61AA"/>
    <w:rsid w:val="007B6696"/>
    <w:rsid w:val="007B6C76"/>
    <w:rsid w:val="007B6D6B"/>
    <w:rsid w:val="007B73FD"/>
    <w:rsid w:val="007C0432"/>
    <w:rsid w:val="007C04CA"/>
    <w:rsid w:val="007C07BC"/>
    <w:rsid w:val="007C09A8"/>
    <w:rsid w:val="007C0A57"/>
    <w:rsid w:val="007C1121"/>
    <w:rsid w:val="007C164D"/>
    <w:rsid w:val="007C2EBC"/>
    <w:rsid w:val="007C39F6"/>
    <w:rsid w:val="007C41C4"/>
    <w:rsid w:val="007C5939"/>
    <w:rsid w:val="007C5DC2"/>
    <w:rsid w:val="007C5E96"/>
    <w:rsid w:val="007C6405"/>
    <w:rsid w:val="007C6EEF"/>
    <w:rsid w:val="007D0841"/>
    <w:rsid w:val="007D0DA9"/>
    <w:rsid w:val="007D19F6"/>
    <w:rsid w:val="007D1A7A"/>
    <w:rsid w:val="007D1ABF"/>
    <w:rsid w:val="007D343B"/>
    <w:rsid w:val="007D510F"/>
    <w:rsid w:val="007D5B68"/>
    <w:rsid w:val="007D5F5E"/>
    <w:rsid w:val="007D63EE"/>
    <w:rsid w:val="007D70E8"/>
    <w:rsid w:val="007D729D"/>
    <w:rsid w:val="007D7BD5"/>
    <w:rsid w:val="007D7E72"/>
    <w:rsid w:val="007E04DF"/>
    <w:rsid w:val="007E301A"/>
    <w:rsid w:val="007E36A0"/>
    <w:rsid w:val="007E3935"/>
    <w:rsid w:val="007E3BE2"/>
    <w:rsid w:val="007E48B0"/>
    <w:rsid w:val="007E4963"/>
    <w:rsid w:val="007E4F86"/>
    <w:rsid w:val="007E5276"/>
    <w:rsid w:val="007E56EB"/>
    <w:rsid w:val="007E6895"/>
    <w:rsid w:val="007E68A5"/>
    <w:rsid w:val="007F05CF"/>
    <w:rsid w:val="007F0959"/>
    <w:rsid w:val="007F181F"/>
    <w:rsid w:val="007F1AB6"/>
    <w:rsid w:val="007F1C4E"/>
    <w:rsid w:val="007F1DC6"/>
    <w:rsid w:val="007F286F"/>
    <w:rsid w:val="007F2F34"/>
    <w:rsid w:val="007F408E"/>
    <w:rsid w:val="007F429D"/>
    <w:rsid w:val="007F4C8D"/>
    <w:rsid w:val="007F4D63"/>
    <w:rsid w:val="007F4DDC"/>
    <w:rsid w:val="007F4FC7"/>
    <w:rsid w:val="007F5291"/>
    <w:rsid w:val="007F52D9"/>
    <w:rsid w:val="007F6796"/>
    <w:rsid w:val="007F7A9E"/>
    <w:rsid w:val="007F7BCA"/>
    <w:rsid w:val="007F7D22"/>
    <w:rsid w:val="007F7E41"/>
    <w:rsid w:val="0080027B"/>
    <w:rsid w:val="00801613"/>
    <w:rsid w:val="00801AEE"/>
    <w:rsid w:val="00801D9F"/>
    <w:rsid w:val="008024C1"/>
    <w:rsid w:val="00802DE5"/>
    <w:rsid w:val="008057E9"/>
    <w:rsid w:val="00805C78"/>
    <w:rsid w:val="00806D08"/>
    <w:rsid w:val="00806E87"/>
    <w:rsid w:val="00807029"/>
    <w:rsid w:val="0081112E"/>
    <w:rsid w:val="008115B8"/>
    <w:rsid w:val="0081341D"/>
    <w:rsid w:val="00813D61"/>
    <w:rsid w:val="00814ED4"/>
    <w:rsid w:val="00816134"/>
    <w:rsid w:val="00822512"/>
    <w:rsid w:val="008229AF"/>
    <w:rsid w:val="0082395F"/>
    <w:rsid w:val="00824881"/>
    <w:rsid w:val="00824D75"/>
    <w:rsid w:val="008265B2"/>
    <w:rsid w:val="00826BA5"/>
    <w:rsid w:val="008277D3"/>
    <w:rsid w:val="008279BD"/>
    <w:rsid w:val="00827FD1"/>
    <w:rsid w:val="00830317"/>
    <w:rsid w:val="00830F28"/>
    <w:rsid w:val="00830F41"/>
    <w:rsid w:val="00830FE7"/>
    <w:rsid w:val="00831628"/>
    <w:rsid w:val="008322D6"/>
    <w:rsid w:val="00833A0A"/>
    <w:rsid w:val="00835423"/>
    <w:rsid w:val="00835C47"/>
    <w:rsid w:val="00835D10"/>
    <w:rsid w:val="0083629A"/>
    <w:rsid w:val="00836570"/>
    <w:rsid w:val="00836ADB"/>
    <w:rsid w:val="0083749A"/>
    <w:rsid w:val="00837C75"/>
    <w:rsid w:val="00837D85"/>
    <w:rsid w:val="00840703"/>
    <w:rsid w:val="00840E40"/>
    <w:rsid w:val="00841A4E"/>
    <w:rsid w:val="00842081"/>
    <w:rsid w:val="008426DC"/>
    <w:rsid w:val="00843E6A"/>
    <w:rsid w:val="00844654"/>
    <w:rsid w:val="00844DFF"/>
    <w:rsid w:val="008470C4"/>
    <w:rsid w:val="008477FF"/>
    <w:rsid w:val="00847B17"/>
    <w:rsid w:val="00850579"/>
    <w:rsid w:val="008507C5"/>
    <w:rsid w:val="00850C6A"/>
    <w:rsid w:val="00851E18"/>
    <w:rsid w:val="0085361E"/>
    <w:rsid w:val="008546BD"/>
    <w:rsid w:val="0085493B"/>
    <w:rsid w:val="00855AAB"/>
    <w:rsid w:val="00855BBA"/>
    <w:rsid w:val="00855C18"/>
    <w:rsid w:val="00857E0A"/>
    <w:rsid w:val="00860875"/>
    <w:rsid w:val="00860BA9"/>
    <w:rsid w:val="0086121B"/>
    <w:rsid w:val="008619E8"/>
    <w:rsid w:val="00862F4E"/>
    <w:rsid w:val="00863007"/>
    <w:rsid w:val="008633E6"/>
    <w:rsid w:val="00863649"/>
    <w:rsid w:val="00863B2F"/>
    <w:rsid w:val="008640DE"/>
    <w:rsid w:val="0086455C"/>
    <w:rsid w:val="00865DA9"/>
    <w:rsid w:val="008671CD"/>
    <w:rsid w:val="00867774"/>
    <w:rsid w:val="00867E46"/>
    <w:rsid w:val="00870152"/>
    <w:rsid w:val="00870570"/>
    <w:rsid w:val="00871810"/>
    <w:rsid w:val="008719A5"/>
    <w:rsid w:val="008722A9"/>
    <w:rsid w:val="00872C12"/>
    <w:rsid w:val="00872F0E"/>
    <w:rsid w:val="008739E1"/>
    <w:rsid w:val="00873A85"/>
    <w:rsid w:val="00875E5D"/>
    <w:rsid w:val="008769A4"/>
    <w:rsid w:val="00880A27"/>
    <w:rsid w:val="00880B8F"/>
    <w:rsid w:val="00881475"/>
    <w:rsid w:val="0088171B"/>
    <w:rsid w:val="00881B2B"/>
    <w:rsid w:val="00883125"/>
    <w:rsid w:val="00883191"/>
    <w:rsid w:val="008836BA"/>
    <w:rsid w:val="00883EB4"/>
    <w:rsid w:val="00884A2F"/>
    <w:rsid w:val="008851B4"/>
    <w:rsid w:val="00885F7D"/>
    <w:rsid w:val="00886CE4"/>
    <w:rsid w:val="008872F3"/>
    <w:rsid w:val="0088762C"/>
    <w:rsid w:val="0089352D"/>
    <w:rsid w:val="00893862"/>
    <w:rsid w:val="00893883"/>
    <w:rsid w:val="00894648"/>
    <w:rsid w:val="00894B19"/>
    <w:rsid w:val="00895115"/>
    <w:rsid w:val="00895267"/>
    <w:rsid w:val="008961E7"/>
    <w:rsid w:val="00896F83"/>
    <w:rsid w:val="0089765C"/>
    <w:rsid w:val="008A0105"/>
    <w:rsid w:val="008A0CFB"/>
    <w:rsid w:val="008A2772"/>
    <w:rsid w:val="008A35CA"/>
    <w:rsid w:val="008A380B"/>
    <w:rsid w:val="008A4EAD"/>
    <w:rsid w:val="008A5210"/>
    <w:rsid w:val="008A5CCB"/>
    <w:rsid w:val="008A613D"/>
    <w:rsid w:val="008A623F"/>
    <w:rsid w:val="008A6B21"/>
    <w:rsid w:val="008A7AFD"/>
    <w:rsid w:val="008B064A"/>
    <w:rsid w:val="008B086F"/>
    <w:rsid w:val="008B12E4"/>
    <w:rsid w:val="008B1DC4"/>
    <w:rsid w:val="008B3516"/>
    <w:rsid w:val="008B3A88"/>
    <w:rsid w:val="008B3D06"/>
    <w:rsid w:val="008B4043"/>
    <w:rsid w:val="008B4356"/>
    <w:rsid w:val="008B4458"/>
    <w:rsid w:val="008B4D86"/>
    <w:rsid w:val="008B564B"/>
    <w:rsid w:val="008B6376"/>
    <w:rsid w:val="008B6B20"/>
    <w:rsid w:val="008B719F"/>
    <w:rsid w:val="008B7314"/>
    <w:rsid w:val="008B7994"/>
    <w:rsid w:val="008C030A"/>
    <w:rsid w:val="008C092E"/>
    <w:rsid w:val="008C1426"/>
    <w:rsid w:val="008C1459"/>
    <w:rsid w:val="008C155B"/>
    <w:rsid w:val="008C1964"/>
    <w:rsid w:val="008C2530"/>
    <w:rsid w:val="008C291D"/>
    <w:rsid w:val="008C2AFE"/>
    <w:rsid w:val="008C2F5A"/>
    <w:rsid w:val="008C3BC9"/>
    <w:rsid w:val="008C4E63"/>
    <w:rsid w:val="008C53A3"/>
    <w:rsid w:val="008C5931"/>
    <w:rsid w:val="008C6FFB"/>
    <w:rsid w:val="008C7769"/>
    <w:rsid w:val="008D0141"/>
    <w:rsid w:val="008D1AAC"/>
    <w:rsid w:val="008D29B3"/>
    <w:rsid w:val="008D2AFB"/>
    <w:rsid w:val="008D4C08"/>
    <w:rsid w:val="008D6936"/>
    <w:rsid w:val="008D76D4"/>
    <w:rsid w:val="008D7E4F"/>
    <w:rsid w:val="008E0B23"/>
    <w:rsid w:val="008E1315"/>
    <w:rsid w:val="008E17E4"/>
    <w:rsid w:val="008E278C"/>
    <w:rsid w:val="008E314A"/>
    <w:rsid w:val="008E3BBB"/>
    <w:rsid w:val="008E47DC"/>
    <w:rsid w:val="008E55EC"/>
    <w:rsid w:val="008E6628"/>
    <w:rsid w:val="008E6917"/>
    <w:rsid w:val="008E7EE6"/>
    <w:rsid w:val="008F0108"/>
    <w:rsid w:val="008F085B"/>
    <w:rsid w:val="008F0877"/>
    <w:rsid w:val="008F09D1"/>
    <w:rsid w:val="008F0D2F"/>
    <w:rsid w:val="008F1320"/>
    <w:rsid w:val="008F1557"/>
    <w:rsid w:val="008F1B1C"/>
    <w:rsid w:val="008F346A"/>
    <w:rsid w:val="008F45D9"/>
    <w:rsid w:val="008F4BD5"/>
    <w:rsid w:val="008F609E"/>
    <w:rsid w:val="008F6D4B"/>
    <w:rsid w:val="008F7284"/>
    <w:rsid w:val="008F7351"/>
    <w:rsid w:val="009004A3"/>
    <w:rsid w:val="00901DB6"/>
    <w:rsid w:val="00901F29"/>
    <w:rsid w:val="0090208F"/>
    <w:rsid w:val="0090260B"/>
    <w:rsid w:val="0090262D"/>
    <w:rsid w:val="0090272E"/>
    <w:rsid w:val="00902DF7"/>
    <w:rsid w:val="0090410C"/>
    <w:rsid w:val="009044FA"/>
    <w:rsid w:val="00904E93"/>
    <w:rsid w:val="00905217"/>
    <w:rsid w:val="00905311"/>
    <w:rsid w:val="00905467"/>
    <w:rsid w:val="00905CBE"/>
    <w:rsid w:val="00906181"/>
    <w:rsid w:val="009109A0"/>
    <w:rsid w:val="00910A3A"/>
    <w:rsid w:val="00911F8A"/>
    <w:rsid w:val="0091235B"/>
    <w:rsid w:val="00913EB3"/>
    <w:rsid w:val="00914449"/>
    <w:rsid w:val="0091457D"/>
    <w:rsid w:val="00914ACF"/>
    <w:rsid w:val="00915A9A"/>
    <w:rsid w:val="00915D0C"/>
    <w:rsid w:val="00915FC5"/>
    <w:rsid w:val="0091605A"/>
    <w:rsid w:val="0091659F"/>
    <w:rsid w:val="00916EFA"/>
    <w:rsid w:val="00917206"/>
    <w:rsid w:val="00917EFF"/>
    <w:rsid w:val="00920324"/>
    <w:rsid w:val="0092079F"/>
    <w:rsid w:val="00921550"/>
    <w:rsid w:val="00921A64"/>
    <w:rsid w:val="00922E56"/>
    <w:rsid w:val="00922FA8"/>
    <w:rsid w:val="00923B26"/>
    <w:rsid w:val="00923DDB"/>
    <w:rsid w:val="00924278"/>
    <w:rsid w:val="009246ED"/>
    <w:rsid w:val="009249B0"/>
    <w:rsid w:val="00925799"/>
    <w:rsid w:val="00925E83"/>
    <w:rsid w:val="00926488"/>
    <w:rsid w:val="009278E3"/>
    <w:rsid w:val="00927E94"/>
    <w:rsid w:val="00931041"/>
    <w:rsid w:val="00931104"/>
    <w:rsid w:val="009323EC"/>
    <w:rsid w:val="009336DF"/>
    <w:rsid w:val="0093412D"/>
    <w:rsid w:val="00934166"/>
    <w:rsid w:val="00934D94"/>
    <w:rsid w:val="0093554F"/>
    <w:rsid w:val="00935C6D"/>
    <w:rsid w:val="00935ED5"/>
    <w:rsid w:val="00936927"/>
    <w:rsid w:val="00936F0D"/>
    <w:rsid w:val="0093725F"/>
    <w:rsid w:val="009379F9"/>
    <w:rsid w:val="00937A9B"/>
    <w:rsid w:val="009407CF"/>
    <w:rsid w:val="00940A9A"/>
    <w:rsid w:val="00942830"/>
    <w:rsid w:val="0094414B"/>
    <w:rsid w:val="009441EF"/>
    <w:rsid w:val="00944618"/>
    <w:rsid w:val="009446FB"/>
    <w:rsid w:val="00945B6A"/>
    <w:rsid w:val="009472A1"/>
    <w:rsid w:val="00947F96"/>
    <w:rsid w:val="0095120D"/>
    <w:rsid w:val="00951533"/>
    <w:rsid w:val="00951B5F"/>
    <w:rsid w:val="009522AD"/>
    <w:rsid w:val="00953AEB"/>
    <w:rsid w:val="0095432E"/>
    <w:rsid w:val="009548F3"/>
    <w:rsid w:val="00954902"/>
    <w:rsid w:val="00955099"/>
    <w:rsid w:val="0095558A"/>
    <w:rsid w:val="0095697C"/>
    <w:rsid w:val="00957754"/>
    <w:rsid w:val="009600A3"/>
    <w:rsid w:val="00960956"/>
    <w:rsid w:val="009615E6"/>
    <w:rsid w:val="00961673"/>
    <w:rsid w:val="00961E37"/>
    <w:rsid w:val="009640C2"/>
    <w:rsid w:val="00964249"/>
    <w:rsid w:val="00964D38"/>
    <w:rsid w:val="00965223"/>
    <w:rsid w:val="0096532D"/>
    <w:rsid w:val="0096559D"/>
    <w:rsid w:val="00965B9C"/>
    <w:rsid w:val="009668B5"/>
    <w:rsid w:val="0096719E"/>
    <w:rsid w:val="009711ED"/>
    <w:rsid w:val="0097235B"/>
    <w:rsid w:val="00972D9E"/>
    <w:rsid w:val="009749A7"/>
    <w:rsid w:val="009749F0"/>
    <w:rsid w:val="00975347"/>
    <w:rsid w:val="00975AA7"/>
    <w:rsid w:val="00976FF0"/>
    <w:rsid w:val="00977C49"/>
    <w:rsid w:val="00980BB2"/>
    <w:rsid w:val="0098227D"/>
    <w:rsid w:val="009828D0"/>
    <w:rsid w:val="00984E7D"/>
    <w:rsid w:val="00985D1C"/>
    <w:rsid w:val="00985ED1"/>
    <w:rsid w:val="0098646B"/>
    <w:rsid w:val="009865A0"/>
    <w:rsid w:val="00986C91"/>
    <w:rsid w:val="009872D5"/>
    <w:rsid w:val="0098737E"/>
    <w:rsid w:val="00987692"/>
    <w:rsid w:val="009904E8"/>
    <w:rsid w:val="00990FA5"/>
    <w:rsid w:val="00992B8B"/>
    <w:rsid w:val="00992D1D"/>
    <w:rsid w:val="0099316C"/>
    <w:rsid w:val="00993978"/>
    <w:rsid w:val="00994658"/>
    <w:rsid w:val="00994B25"/>
    <w:rsid w:val="00994B27"/>
    <w:rsid w:val="00995028"/>
    <w:rsid w:val="0099558C"/>
    <w:rsid w:val="00995DB9"/>
    <w:rsid w:val="009960DB"/>
    <w:rsid w:val="009961EE"/>
    <w:rsid w:val="009A1027"/>
    <w:rsid w:val="009A3218"/>
    <w:rsid w:val="009A3255"/>
    <w:rsid w:val="009A53EF"/>
    <w:rsid w:val="009A671C"/>
    <w:rsid w:val="009A7519"/>
    <w:rsid w:val="009A762E"/>
    <w:rsid w:val="009B0224"/>
    <w:rsid w:val="009B1C0D"/>
    <w:rsid w:val="009B2FCA"/>
    <w:rsid w:val="009B339A"/>
    <w:rsid w:val="009B3834"/>
    <w:rsid w:val="009B4448"/>
    <w:rsid w:val="009B5005"/>
    <w:rsid w:val="009B594E"/>
    <w:rsid w:val="009B631F"/>
    <w:rsid w:val="009B6AB8"/>
    <w:rsid w:val="009B7F70"/>
    <w:rsid w:val="009C0613"/>
    <w:rsid w:val="009C1318"/>
    <w:rsid w:val="009C251B"/>
    <w:rsid w:val="009C3F99"/>
    <w:rsid w:val="009C5C0E"/>
    <w:rsid w:val="009C726E"/>
    <w:rsid w:val="009C7393"/>
    <w:rsid w:val="009D03C5"/>
    <w:rsid w:val="009D05C9"/>
    <w:rsid w:val="009D1128"/>
    <w:rsid w:val="009D1E31"/>
    <w:rsid w:val="009D1F69"/>
    <w:rsid w:val="009D33B0"/>
    <w:rsid w:val="009D3780"/>
    <w:rsid w:val="009D4D93"/>
    <w:rsid w:val="009D4F04"/>
    <w:rsid w:val="009D5566"/>
    <w:rsid w:val="009D6B9A"/>
    <w:rsid w:val="009D7F61"/>
    <w:rsid w:val="009E0D51"/>
    <w:rsid w:val="009E0E69"/>
    <w:rsid w:val="009E3357"/>
    <w:rsid w:val="009E3490"/>
    <w:rsid w:val="009E39E7"/>
    <w:rsid w:val="009E4D2D"/>
    <w:rsid w:val="009E5EC7"/>
    <w:rsid w:val="009E64DF"/>
    <w:rsid w:val="009E7231"/>
    <w:rsid w:val="009E77AB"/>
    <w:rsid w:val="009F0411"/>
    <w:rsid w:val="009F0DCD"/>
    <w:rsid w:val="009F1EA0"/>
    <w:rsid w:val="009F23A1"/>
    <w:rsid w:val="009F2E4E"/>
    <w:rsid w:val="009F3236"/>
    <w:rsid w:val="009F3769"/>
    <w:rsid w:val="009F422B"/>
    <w:rsid w:val="009F43B9"/>
    <w:rsid w:val="009F4616"/>
    <w:rsid w:val="009F63C9"/>
    <w:rsid w:val="00A00E39"/>
    <w:rsid w:val="00A02A30"/>
    <w:rsid w:val="00A033F5"/>
    <w:rsid w:val="00A04A9A"/>
    <w:rsid w:val="00A04B7C"/>
    <w:rsid w:val="00A05205"/>
    <w:rsid w:val="00A05A2D"/>
    <w:rsid w:val="00A05EDB"/>
    <w:rsid w:val="00A067A0"/>
    <w:rsid w:val="00A06C04"/>
    <w:rsid w:val="00A10254"/>
    <w:rsid w:val="00A10DD7"/>
    <w:rsid w:val="00A11071"/>
    <w:rsid w:val="00A11DD9"/>
    <w:rsid w:val="00A11EBF"/>
    <w:rsid w:val="00A12E87"/>
    <w:rsid w:val="00A154BF"/>
    <w:rsid w:val="00A1577F"/>
    <w:rsid w:val="00A204F0"/>
    <w:rsid w:val="00A20671"/>
    <w:rsid w:val="00A207E4"/>
    <w:rsid w:val="00A20CD5"/>
    <w:rsid w:val="00A22C17"/>
    <w:rsid w:val="00A232A6"/>
    <w:rsid w:val="00A23523"/>
    <w:rsid w:val="00A2357A"/>
    <w:rsid w:val="00A23BB5"/>
    <w:rsid w:val="00A24169"/>
    <w:rsid w:val="00A25140"/>
    <w:rsid w:val="00A25524"/>
    <w:rsid w:val="00A25D21"/>
    <w:rsid w:val="00A2641B"/>
    <w:rsid w:val="00A26626"/>
    <w:rsid w:val="00A276B7"/>
    <w:rsid w:val="00A30447"/>
    <w:rsid w:val="00A30517"/>
    <w:rsid w:val="00A324FB"/>
    <w:rsid w:val="00A32683"/>
    <w:rsid w:val="00A32F6C"/>
    <w:rsid w:val="00A33B3E"/>
    <w:rsid w:val="00A34BA8"/>
    <w:rsid w:val="00A35A82"/>
    <w:rsid w:val="00A35D38"/>
    <w:rsid w:val="00A3753A"/>
    <w:rsid w:val="00A40DD8"/>
    <w:rsid w:val="00A40F53"/>
    <w:rsid w:val="00A413EC"/>
    <w:rsid w:val="00A41691"/>
    <w:rsid w:val="00A419C7"/>
    <w:rsid w:val="00A4264E"/>
    <w:rsid w:val="00A43772"/>
    <w:rsid w:val="00A438BA"/>
    <w:rsid w:val="00A43966"/>
    <w:rsid w:val="00A4400A"/>
    <w:rsid w:val="00A441AC"/>
    <w:rsid w:val="00A4603D"/>
    <w:rsid w:val="00A47D2F"/>
    <w:rsid w:val="00A507DB"/>
    <w:rsid w:val="00A5152C"/>
    <w:rsid w:val="00A523F0"/>
    <w:rsid w:val="00A52B6B"/>
    <w:rsid w:val="00A530C8"/>
    <w:rsid w:val="00A53BF6"/>
    <w:rsid w:val="00A547F3"/>
    <w:rsid w:val="00A54B4F"/>
    <w:rsid w:val="00A57019"/>
    <w:rsid w:val="00A604EB"/>
    <w:rsid w:val="00A61907"/>
    <w:rsid w:val="00A6196F"/>
    <w:rsid w:val="00A61AB3"/>
    <w:rsid w:val="00A61DAD"/>
    <w:rsid w:val="00A6215D"/>
    <w:rsid w:val="00A63017"/>
    <w:rsid w:val="00A64669"/>
    <w:rsid w:val="00A66095"/>
    <w:rsid w:val="00A66172"/>
    <w:rsid w:val="00A66221"/>
    <w:rsid w:val="00A6661E"/>
    <w:rsid w:val="00A66CA4"/>
    <w:rsid w:val="00A67444"/>
    <w:rsid w:val="00A6749E"/>
    <w:rsid w:val="00A71AB0"/>
    <w:rsid w:val="00A71BBB"/>
    <w:rsid w:val="00A71C3A"/>
    <w:rsid w:val="00A725EB"/>
    <w:rsid w:val="00A7408D"/>
    <w:rsid w:val="00A7456B"/>
    <w:rsid w:val="00A750AD"/>
    <w:rsid w:val="00A77B6D"/>
    <w:rsid w:val="00A80FBA"/>
    <w:rsid w:val="00A81309"/>
    <w:rsid w:val="00A81BE2"/>
    <w:rsid w:val="00A8226C"/>
    <w:rsid w:val="00A82A0D"/>
    <w:rsid w:val="00A8328B"/>
    <w:rsid w:val="00A8361A"/>
    <w:rsid w:val="00A850A0"/>
    <w:rsid w:val="00A85121"/>
    <w:rsid w:val="00A869F1"/>
    <w:rsid w:val="00A87DE0"/>
    <w:rsid w:val="00A9126F"/>
    <w:rsid w:val="00A912DB"/>
    <w:rsid w:val="00A917E3"/>
    <w:rsid w:val="00A91B42"/>
    <w:rsid w:val="00A91C1C"/>
    <w:rsid w:val="00A91DAE"/>
    <w:rsid w:val="00A92A08"/>
    <w:rsid w:val="00A93844"/>
    <w:rsid w:val="00A94F98"/>
    <w:rsid w:val="00A95BB4"/>
    <w:rsid w:val="00A977AD"/>
    <w:rsid w:val="00A97DE7"/>
    <w:rsid w:val="00AA1654"/>
    <w:rsid w:val="00AA1DD5"/>
    <w:rsid w:val="00AA2EB6"/>
    <w:rsid w:val="00AA35CE"/>
    <w:rsid w:val="00AA4DD0"/>
    <w:rsid w:val="00AA567D"/>
    <w:rsid w:val="00AA69F1"/>
    <w:rsid w:val="00AA6A6D"/>
    <w:rsid w:val="00AA6A95"/>
    <w:rsid w:val="00AA6DF6"/>
    <w:rsid w:val="00AA76C6"/>
    <w:rsid w:val="00AB02C5"/>
    <w:rsid w:val="00AB1D58"/>
    <w:rsid w:val="00AB1F5D"/>
    <w:rsid w:val="00AB2262"/>
    <w:rsid w:val="00AB28EA"/>
    <w:rsid w:val="00AB385C"/>
    <w:rsid w:val="00AB474B"/>
    <w:rsid w:val="00AB525F"/>
    <w:rsid w:val="00AB5761"/>
    <w:rsid w:val="00AB605E"/>
    <w:rsid w:val="00AB6BC8"/>
    <w:rsid w:val="00AB6CD8"/>
    <w:rsid w:val="00AB7266"/>
    <w:rsid w:val="00AB7DC9"/>
    <w:rsid w:val="00AC025B"/>
    <w:rsid w:val="00AC0604"/>
    <w:rsid w:val="00AC08D5"/>
    <w:rsid w:val="00AC163F"/>
    <w:rsid w:val="00AC17DA"/>
    <w:rsid w:val="00AC27EC"/>
    <w:rsid w:val="00AC2CAB"/>
    <w:rsid w:val="00AC2FA1"/>
    <w:rsid w:val="00AC3354"/>
    <w:rsid w:val="00AC34F9"/>
    <w:rsid w:val="00AC4067"/>
    <w:rsid w:val="00AC5684"/>
    <w:rsid w:val="00AC7799"/>
    <w:rsid w:val="00AC7C21"/>
    <w:rsid w:val="00AD1C54"/>
    <w:rsid w:val="00AD1D23"/>
    <w:rsid w:val="00AD2874"/>
    <w:rsid w:val="00AD38A8"/>
    <w:rsid w:val="00AD3939"/>
    <w:rsid w:val="00AD3F6E"/>
    <w:rsid w:val="00AD3FD6"/>
    <w:rsid w:val="00AD4113"/>
    <w:rsid w:val="00AD4149"/>
    <w:rsid w:val="00AD4592"/>
    <w:rsid w:val="00AD47E3"/>
    <w:rsid w:val="00AD600A"/>
    <w:rsid w:val="00AD6E2D"/>
    <w:rsid w:val="00AD6FB5"/>
    <w:rsid w:val="00AD7043"/>
    <w:rsid w:val="00AD768F"/>
    <w:rsid w:val="00AE0525"/>
    <w:rsid w:val="00AE060E"/>
    <w:rsid w:val="00AE0C97"/>
    <w:rsid w:val="00AE116C"/>
    <w:rsid w:val="00AE1E36"/>
    <w:rsid w:val="00AE26B4"/>
    <w:rsid w:val="00AE2EEE"/>
    <w:rsid w:val="00AE3444"/>
    <w:rsid w:val="00AE3CAC"/>
    <w:rsid w:val="00AE4134"/>
    <w:rsid w:val="00AE47B4"/>
    <w:rsid w:val="00AE5BA0"/>
    <w:rsid w:val="00AE638E"/>
    <w:rsid w:val="00AE6827"/>
    <w:rsid w:val="00AF13F3"/>
    <w:rsid w:val="00AF19CB"/>
    <w:rsid w:val="00AF1D8E"/>
    <w:rsid w:val="00AF265B"/>
    <w:rsid w:val="00AF4DDB"/>
    <w:rsid w:val="00AF602B"/>
    <w:rsid w:val="00AF6B0C"/>
    <w:rsid w:val="00AF75C4"/>
    <w:rsid w:val="00AF7E44"/>
    <w:rsid w:val="00B006CA"/>
    <w:rsid w:val="00B01B7E"/>
    <w:rsid w:val="00B01FAB"/>
    <w:rsid w:val="00B02308"/>
    <w:rsid w:val="00B025C5"/>
    <w:rsid w:val="00B02B0B"/>
    <w:rsid w:val="00B03A10"/>
    <w:rsid w:val="00B05097"/>
    <w:rsid w:val="00B05B30"/>
    <w:rsid w:val="00B060B0"/>
    <w:rsid w:val="00B06110"/>
    <w:rsid w:val="00B07580"/>
    <w:rsid w:val="00B10589"/>
    <w:rsid w:val="00B10A67"/>
    <w:rsid w:val="00B113ED"/>
    <w:rsid w:val="00B11D49"/>
    <w:rsid w:val="00B125D5"/>
    <w:rsid w:val="00B131DF"/>
    <w:rsid w:val="00B131FE"/>
    <w:rsid w:val="00B137D8"/>
    <w:rsid w:val="00B15F68"/>
    <w:rsid w:val="00B1697F"/>
    <w:rsid w:val="00B17407"/>
    <w:rsid w:val="00B20791"/>
    <w:rsid w:val="00B208FF"/>
    <w:rsid w:val="00B22C20"/>
    <w:rsid w:val="00B235EC"/>
    <w:rsid w:val="00B23A43"/>
    <w:rsid w:val="00B23E07"/>
    <w:rsid w:val="00B248BA"/>
    <w:rsid w:val="00B25A03"/>
    <w:rsid w:val="00B26376"/>
    <w:rsid w:val="00B2664A"/>
    <w:rsid w:val="00B27123"/>
    <w:rsid w:val="00B308F8"/>
    <w:rsid w:val="00B31504"/>
    <w:rsid w:val="00B3162C"/>
    <w:rsid w:val="00B31C66"/>
    <w:rsid w:val="00B31F43"/>
    <w:rsid w:val="00B3239B"/>
    <w:rsid w:val="00B32A94"/>
    <w:rsid w:val="00B34229"/>
    <w:rsid w:val="00B34B0B"/>
    <w:rsid w:val="00B34B76"/>
    <w:rsid w:val="00B358C9"/>
    <w:rsid w:val="00B35C19"/>
    <w:rsid w:val="00B35DD9"/>
    <w:rsid w:val="00B36EA6"/>
    <w:rsid w:val="00B37025"/>
    <w:rsid w:val="00B3770A"/>
    <w:rsid w:val="00B4091F"/>
    <w:rsid w:val="00B41518"/>
    <w:rsid w:val="00B41D97"/>
    <w:rsid w:val="00B42E9F"/>
    <w:rsid w:val="00B43A59"/>
    <w:rsid w:val="00B43D32"/>
    <w:rsid w:val="00B43EC8"/>
    <w:rsid w:val="00B43ED7"/>
    <w:rsid w:val="00B44DB8"/>
    <w:rsid w:val="00B45232"/>
    <w:rsid w:val="00B46481"/>
    <w:rsid w:val="00B474A7"/>
    <w:rsid w:val="00B47665"/>
    <w:rsid w:val="00B4778D"/>
    <w:rsid w:val="00B526DD"/>
    <w:rsid w:val="00B52A2D"/>
    <w:rsid w:val="00B5307F"/>
    <w:rsid w:val="00B53CBE"/>
    <w:rsid w:val="00B54426"/>
    <w:rsid w:val="00B55239"/>
    <w:rsid w:val="00B55CCF"/>
    <w:rsid w:val="00B57A31"/>
    <w:rsid w:val="00B60ACA"/>
    <w:rsid w:val="00B618A8"/>
    <w:rsid w:val="00B62A2D"/>
    <w:rsid w:val="00B62BE7"/>
    <w:rsid w:val="00B63490"/>
    <w:rsid w:val="00B64D98"/>
    <w:rsid w:val="00B67366"/>
    <w:rsid w:val="00B678E5"/>
    <w:rsid w:val="00B716FC"/>
    <w:rsid w:val="00B718CD"/>
    <w:rsid w:val="00B72588"/>
    <w:rsid w:val="00B72EA3"/>
    <w:rsid w:val="00B7303A"/>
    <w:rsid w:val="00B73A17"/>
    <w:rsid w:val="00B73AF2"/>
    <w:rsid w:val="00B75434"/>
    <w:rsid w:val="00B75B14"/>
    <w:rsid w:val="00B7655C"/>
    <w:rsid w:val="00B767A3"/>
    <w:rsid w:val="00B76B13"/>
    <w:rsid w:val="00B76D36"/>
    <w:rsid w:val="00B76D51"/>
    <w:rsid w:val="00B770FA"/>
    <w:rsid w:val="00B771B0"/>
    <w:rsid w:val="00B772E5"/>
    <w:rsid w:val="00B776FB"/>
    <w:rsid w:val="00B829C4"/>
    <w:rsid w:val="00B82D43"/>
    <w:rsid w:val="00B83BFD"/>
    <w:rsid w:val="00B84099"/>
    <w:rsid w:val="00B84C60"/>
    <w:rsid w:val="00B8524E"/>
    <w:rsid w:val="00B85471"/>
    <w:rsid w:val="00B85D43"/>
    <w:rsid w:val="00B86BB7"/>
    <w:rsid w:val="00B873DC"/>
    <w:rsid w:val="00B87BD9"/>
    <w:rsid w:val="00B91145"/>
    <w:rsid w:val="00B917E8"/>
    <w:rsid w:val="00B9299F"/>
    <w:rsid w:val="00B93CC9"/>
    <w:rsid w:val="00B93FBF"/>
    <w:rsid w:val="00B943EB"/>
    <w:rsid w:val="00B94415"/>
    <w:rsid w:val="00B944DE"/>
    <w:rsid w:val="00B9460F"/>
    <w:rsid w:val="00B94A32"/>
    <w:rsid w:val="00B9502E"/>
    <w:rsid w:val="00B952D9"/>
    <w:rsid w:val="00B9542A"/>
    <w:rsid w:val="00B965FF"/>
    <w:rsid w:val="00BA1A61"/>
    <w:rsid w:val="00BA1E15"/>
    <w:rsid w:val="00BA2034"/>
    <w:rsid w:val="00BA2664"/>
    <w:rsid w:val="00BA2C2E"/>
    <w:rsid w:val="00BA423A"/>
    <w:rsid w:val="00BA4511"/>
    <w:rsid w:val="00BA4F25"/>
    <w:rsid w:val="00BA53D4"/>
    <w:rsid w:val="00BA5D4D"/>
    <w:rsid w:val="00BA67A7"/>
    <w:rsid w:val="00BA6835"/>
    <w:rsid w:val="00BA693F"/>
    <w:rsid w:val="00BA6CA3"/>
    <w:rsid w:val="00BA7D86"/>
    <w:rsid w:val="00BB0738"/>
    <w:rsid w:val="00BB1978"/>
    <w:rsid w:val="00BB1C14"/>
    <w:rsid w:val="00BB24D2"/>
    <w:rsid w:val="00BB24FF"/>
    <w:rsid w:val="00BB256C"/>
    <w:rsid w:val="00BB2E70"/>
    <w:rsid w:val="00BB339C"/>
    <w:rsid w:val="00BB3436"/>
    <w:rsid w:val="00BB5549"/>
    <w:rsid w:val="00BB576E"/>
    <w:rsid w:val="00BB57FE"/>
    <w:rsid w:val="00BB6715"/>
    <w:rsid w:val="00BB697C"/>
    <w:rsid w:val="00BB6B1E"/>
    <w:rsid w:val="00BB7E1E"/>
    <w:rsid w:val="00BC0D5C"/>
    <w:rsid w:val="00BC0D67"/>
    <w:rsid w:val="00BC1C8B"/>
    <w:rsid w:val="00BC1CA0"/>
    <w:rsid w:val="00BC22E9"/>
    <w:rsid w:val="00BC26E5"/>
    <w:rsid w:val="00BC3561"/>
    <w:rsid w:val="00BC3B66"/>
    <w:rsid w:val="00BC41F3"/>
    <w:rsid w:val="00BC48DF"/>
    <w:rsid w:val="00BC4EC0"/>
    <w:rsid w:val="00BC72BE"/>
    <w:rsid w:val="00BC7D35"/>
    <w:rsid w:val="00BD0978"/>
    <w:rsid w:val="00BD0B72"/>
    <w:rsid w:val="00BD0C90"/>
    <w:rsid w:val="00BD28B8"/>
    <w:rsid w:val="00BD2AD1"/>
    <w:rsid w:val="00BD3179"/>
    <w:rsid w:val="00BD3A76"/>
    <w:rsid w:val="00BD3E50"/>
    <w:rsid w:val="00BD429C"/>
    <w:rsid w:val="00BD5C0B"/>
    <w:rsid w:val="00BD5F1E"/>
    <w:rsid w:val="00BD61EF"/>
    <w:rsid w:val="00BD66E6"/>
    <w:rsid w:val="00BD6C7C"/>
    <w:rsid w:val="00BD74C9"/>
    <w:rsid w:val="00BD7A61"/>
    <w:rsid w:val="00BE01F0"/>
    <w:rsid w:val="00BE0678"/>
    <w:rsid w:val="00BE0CA3"/>
    <w:rsid w:val="00BE0CD1"/>
    <w:rsid w:val="00BE3EF8"/>
    <w:rsid w:val="00BE4FC4"/>
    <w:rsid w:val="00BE6F8A"/>
    <w:rsid w:val="00BE7E76"/>
    <w:rsid w:val="00BF09F8"/>
    <w:rsid w:val="00BF2130"/>
    <w:rsid w:val="00BF36BC"/>
    <w:rsid w:val="00BF4AE2"/>
    <w:rsid w:val="00BF4CC8"/>
    <w:rsid w:val="00BF4EE3"/>
    <w:rsid w:val="00BF5869"/>
    <w:rsid w:val="00BF5F50"/>
    <w:rsid w:val="00BF63D9"/>
    <w:rsid w:val="00BF6BB4"/>
    <w:rsid w:val="00BF6FE5"/>
    <w:rsid w:val="00BF7807"/>
    <w:rsid w:val="00BF7D6A"/>
    <w:rsid w:val="00C0004D"/>
    <w:rsid w:val="00C00261"/>
    <w:rsid w:val="00C0077C"/>
    <w:rsid w:val="00C00CD2"/>
    <w:rsid w:val="00C01B54"/>
    <w:rsid w:val="00C01BB1"/>
    <w:rsid w:val="00C020DA"/>
    <w:rsid w:val="00C0251B"/>
    <w:rsid w:val="00C028BB"/>
    <w:rsid w:val="00C034A6"/>
    <w:rsid w:val="00C038C7"/>
    <w:rsid w:val="00C04179"/>
    <w:rsid w:val="00C04947"/>
    <w:rsid w:val="00C0593F"/>
    <w:rsid w:val="00C05CE2"/>
    <w:rsid w:val="00C06DBF"/>
    <w:rsid w:val="00C07B74"/>
    <w:rsid w:val="00C11103"/>
    <w:rsid w:val="00C11379"/>
    <w:rsid w:val="00C119FD"/>
    <w:rsid w:val="00C1244A"/>
    <w:rsid w:val="00C12E49"/>
    <w:rsid w:val="00C14F80"/>
    <w:rsid w:val="00C152AF"/>
    <w:rsid w:val="00C15E6E"/>
    <w:rsid w:val="00C15F13"/>
    <w:rsid w:val="00C16564"/>
    <w:rsid w:val="00C16D5B"/>
    <w:rsid w:val="00C177F9"/>
    <w:rsid w:val="00C17F8C"/>
    <w:rsid w:val="00C209B2"/>
    <w:rsid w:val="00C20A07"/>
    <w:rsid w:val="00C21006"/>
    <w:rsid w:val="00C218DC"/>
    <w:rsid w:val="00C21A01"/>
    <w:rsid w:val="00C21B8B"/>
    <w:rsid w:val="00C21D35"/>
    <w:rsid w:val="00C21D4D"/>
    <w:rsid w:val="00C22C2E"/>
    <w:rsid w:val="00C23595"/>
    <w:rsid w:val="00C24763"/>
    <w:rsid w:val="00C2564A"/>
    <w:rsid w:val="00C30388"/>
    <w:rsid w:val="00C30D87"/>
    <w:rsid w:val="00C31E51"/>
    <w:rsid w:val="00C32491"/>
    <w:rsid w:val="00C32FCD"/>
    <w:rsid w:val="00C33781"/>
    <w:rsid w:val="00C341CA"/>
    <w:rsid w:val="00C34CF9"/>
    <w:rsid w:val="00C35315"/>
    <w:rsid w:val="00C3582C"/>
    <w:rsid w:val="00C36302"/>
    <w:rsid w:val="00C36398"/>
    <w:rsid w:val="00C36611"/>
    <w:rsid w:val="00C36B72"/>
    <w:rsid w:val="00C374B1"/>
    <w:rsid w:val="00C40F1D"/>
    <w:rsid w:val="00C40FC7"/>
    <w:rsid w:val="00C410BC"/>
    <w:rsid w:val="00C411DA"/>
    <w:rsid w:val="00C415ED"/>
    <w:rsid w:val="00C42A71"/>
    <w:rsid w:val="00C4304C"/>
    <w:rsid w:val="00C45BB5"/>
    <w:rsid w:val="00C469E4"/>
    <w:rsid w:val="00C46BBD"/>
    <w:rsid w:val="00C47558"/>
    <w:rsid w:val="00C47F1F"/>
    <w:rsid w:val="00C506D2"/>
    <w:rsid w:val="00C5073B"/>
    <w:rsid w:val="00C509B5"/>
    <w:rsid w:val="00C50F35"/>
    <w:rsid w:val="00C51847"/>
    <w:rsid w:val="00C524D6"/>
    <w:rsid w:val="00C52906"/>
    <w:rsid w:val="00C5291E"/>
    <w:rsid w:val="00C52A52"/>
    <w:rsid w:val="00C533E7"/>
    <w:rsid w:val="00C534E1"/>
    <w:rsid w:val="00C5456F"/>
    <w:rsid w:val="00C5492A"/>
    <w:rsid w:val="00C552A3"/>
    <w:rsid w:val="00C55459"/>
    <w:rsid w:val="00C55B9A"/>
    <w:rsid w:val="00C5640C"/>
    <w:rsid w:val="00C56BA5"/>
    <w:rsid w:val="00C57131"/>
    <w:rsid w:val="00C60088"/>
    <w:rsid w:val="00C6033B"/>
    <w:rsid w:val="00C605D2"/>
    <w:rsid w:val="00C6085B"/>
    <w:rsid w:val="00C60ADF"/>
    <w:rsid w:val="00C61BF2"/>
    <w:rsid w:val="00C61F6B"/>
    <w:rsid w:val="00C62147"/>
    <w:rsid w:val="00C62A39"/>
    <w:rsid w:val="00C631FA"/>
    <w:rsid w:val="00C632C3"/>
    <w:rsid w:val="00C63645"/>
    <w:rsid w:val="00C636F2"/>
    <w:rsid w:val="00C639F1"/>
    <w:rsid w:val="00C63B71"/>
    <w:rsid w:val="00C642ED"/>
    <w:rsid w:val="00C656AA"/>
    <w:rsid w:val="00C65D97"/>
    <w:rsid w:val="00C66434"/>
    <w:rsid w:val="00C6654F"/>
    <w:rsid w:val="00C66DE8"/>
    <w:rsid w:val="00C679BA"/>
    <w:rsid w:val="00C70DE1"/>
    <w:rsid w:val="00C71110"/>
    <w:rsid w:val="00C71687"/>
    <w:rsid w:val="00C716BC"/>
    <w:rsid w:val="00C72119"/>
    <w:rsid w:val="00C7238B"/>
    <w:rsid w:val="00C723C0"/>
    <w:rsid w:val="00C731F3"/>
    <w:rsid w:val="00C74B44"/>
    <w:rsid w:val="00C74E19"/>
    <w:rsid w:val="00C75CCF"/>
    <w:rsid w:val="00C76A24"/>
    <w:rsid w:val="00C76D5E"/>
    <w:rsid w:val="00C80310"/>
    <w:rsid w:val="00C82222"/>
    <w:rsid w:val="00C82522"/>
    <w:rsid w:val="00C826C0"/>
    <w:rsid w:val="00C82883"/>
    <w:rsid w:val="00C83096"/>
    <w:rsid w:val="00C831B3"/>
    <w:rsid w:val="00C8435A"/>
    <w:rsid w:val="00C845BF"/>
    <w:rsid w:val="00C85E47"/>
    <w:rsid w:val="00C86D94"/>
    <w:rsid w:val="00C87618"/>
    <w:rsid w:val="00C906A6"/>
    <w:rsid w:val="00C90C60"/>
    <w:rsid w:val="00C90C65"/>
    <w:rsid w:val="00C91E69"/>
    <w:rsid w:val="00C91FB5"/>
    <w:rsid w:val="00C92B6A"/>
    <w:rsid w:val="00C92D79"/>
    <w:rsid w:val="00C92EC7"/>
    <w:rsid w:val="00C9328D"/>
    <w:rsid w:val="00C94DE5"/>
    <w:rsid w:val="00C950F1"/>
    <w:rsid w:val="00C95310"/>
    <w:rsid w:val="00C9534F"/>
    <w:rsid w:val="00C97058"/>
    <w:rsid w:val="00CA0864"/>
    <w:rsid w:val="00CA0E40"/>
    <w:rsid w:val="00CA23FD"/>
    <w:rsid w:val="00CA2C08"/>
    <w:rsid w:val="00CA3301"/>
    <w:rsid w:val="00CA3BA5"/>
    <w:rsid w:val="00CA4A87"/>
    <w:rsid w:val="00CA4CBF"/>
    <w:rsid w:val="00CA5618"/>
    <w:rsid w:val="00CA65C3"/>
    <w:rsid w:val="00CA6630"/>
    <w:rsid w:val="00CA69AA"/>
    <w:rsid w:val="00CA69E9"/>
    <w:rsid w:val="00CB0F4C"/>
    <w:rsid w:val="00CB120E"/>
    <w:rsid w:val="00CB1671"/>
    <w:rsid w:val="00CB1CE0"/>
    <w:rsid w:val="00CB1D7A"/>
    <w:rsid w:val="00CB2D16"/>
    <w:rsid w:val="00CB30A6"/>
    <w:rsid w:val="00CB3499"/>
    <w:rsid w:val="00CB3DEB"/>
    <w:rsid w:val="00CB4100"/>
    <w:rsid w:val="00CB4108"/>
    <w:rsid w:val="00CB54FD"/>
    <w:rsid w:val="00CB5950"/>
    <w:rsid w:val="00CB7E3C"/>
    <w:rsid w:val="00CC01AB"/>
    <w:rsid w:val="00CC0925"/>
    <w:rsid w:val="00CC1C3F"/>
    <w:rsid w:val="00CC2DAE"/>
    <w:rsid w:val="00CC40D3"/>
    <w:rsid w:val="00CC495D"/>
    <w:rsid w:val="00CC49CE"/>
    <w:rsid w:val="00CC4ED3"/>
    <w:rsid w:val="00CC5090"/>
    <w:rsid w:val="00CC5E7C"/>
    <w:rsid w:val="00CC6C94"/>
    <w:rsid w:val="00CC6D63"/>
    <w:rsid w:val="00CC7A23"/>
    <w:rsid w:val="00CC7D63"/>
    <w:rsid w:val="00CC7F31"/>
    <w:rsid w:val="00CD007C"/>
    <w:rsid w:val="00CD0726"/>
    <w:rsid w:val="00CD0C35"/>
    <w:rsid w:val="00CD11AD"/>
    <w:rsid w:val="00CD2D59"/>
    <w:rsid w:val="00CD2EAE"/>
    <w:rsid w:val="00CD32C3"/>
    <w:rsid w:val="00CD4558"/>
    <w:rsid w:val="00CD5608"/>
    <w:rsid w:val="00CD5B63"/>
    <w:rsid w:val="00CD5BAD"/>
    <w:rsid w:val="00CD619F"/>
    <w:rsid w:val="00CD6E8D"/>
    <w:rsid w:val="00CE0448"/>
    <w:rsid w:val="00CE1382"/>
    <w:rsid w:val="00CE1701"/>
    <w:rsid w:val="00CE199A"/>
    <w:rsid w:val="00CE34C8"/>
    <w:rsid w:val="00CE357F"/>
    <w:rsid w:val="00CE3AAD"/>
    <w:rsid w:val="00CE4459"/>
    <w:rsid w:val="00CE49CB"/>
    <w:rsid w:val="00CE4A44"/>
    <w:rsid w:val="00CE4E25"/>
    <w:rsid w:val="00CE4E3F"/>
    <w:rsid w:val="00CE50C5"/>
    <w:rsid w:val="00CE51CD"/>
    <w:rsid w:val="00CE54F0"/>
    <w:rsid w:val="00CE5DBA"/>
    <w:rsid w:val="00CE5E83"/>
    <w:rsid w:val="00CE5ECF"/>
    <w:rsid w:val="00CE62CD"/>
    <w:rsid w:val="00CE63D7"/>
    <w:rsid w:val="00CF0409"/>
    <w:rsid w:val="00CF0511"/>
    <w:rsid w:val="00CF05C8"/>
    <w:rsid w:val="00CF14FE"/>
    <w:rsid w:val="00CF1F2C"/>
    <w:rsid w:val="00CF20E9"/>
    <w:rsid w:val="00CF324C"/>
    <w:rsid w:val="00CF3805"/>
    <w:rsid w:val="00CF3C9A"/>
    <w:rsid w:val="00CF3F1B"/>
    <w:rsid w:val="00CF4D61"/>
    <w:rsid w:val="00CF51B8"/>
    <w:rsid w:val="00CF53A6"/>
    <w:rsid w:val="00CF5AB9"/>
    <w:rsid w:val="00CF5DED"/>
    <w:rsid w:val="00CF6D2F"/>
    <w:rsid w:val="00CF7855"/>
    <w:rsid w:val="00CF7CDB"/>
    <w:rsid w:val="00D00F10"/>
    <w:rsid w:val="00D011D5"/>
    <w:rsid w:val="00D01B8F"/>
    <w:rsid w:val="00D01C6D"/>
    <w:rsid w:val="00D039CA"/>
    <w:rsid w:val="00D048B8"/>
    <w:rsid w:val="00D05BF8"/>
    <w:rsid w:val="00D06104"/>
    <w:rsid w:val="00D066EB"/>
    <w:rsid w:val="00D070FC"/>
    <w:rsid w:val="00D10772"/>
    <w:rsid w:val="00D10953"/>
    <w:rsid w:val="00D13E9C"/>
    <w:rsid w:val="00D1468D"/>
    <w:rsid w:val="00D153C0"/>
    <w:rsid w:val="00D15676"/>
    <w:rsid w:val="00D16AC0"/>
    <w:rsid w:val="00D171C2"/>
    <w:rsid w:val="00D17B39"/>
    <w:rsid w:val="00D17BF5"/>
    <w:rsid w:val="00D17C60"/>
    <w:rsid w:val="00D17DD8"/>
    <w:rsid w:val="00D20649"/>
    <w:rsid w:val="00D211F7"/>
    <w:rsid w:val="00D23A9A"/>
    <w:rsid w:val="00D249D9"/>
    <w:rsid w:val="00D25314"/>
    <w:rsid w:val="00D254BB"/>
    <w:rsid w:val="00D265B2"/>
    <w:rsid w:val="00D267A0"/>
    <w:rsid w:val="00D276D4"/>
    <w:rsid w:val="00D27A90"/>
    <w:rsid w:val="00D27D03"/>
    <w:rsid w:val="00D3123F"/>
    <w:rsid w:val="00D31608"/>
    <w:rsid w:val="00D3192A"/>
    <w:rsid w:val="00D33005"/>
    <w:rsid w:val="00D344F5"/>
    <w:rsid w:val="00D34D5E"/>
    <w:rsid w:val="00D36DF0"/>
    <w:rsid w:val="00D36FF7"/>
    <w:rsid w:val="00D3764C"/>
    <w:rsid w:val="00D40D80"/>
    <w:rsid w:val="00D40FC4"/>
    <w:rsid w:val="00D41FF1"/>
    <w:rsid w:val="00D423F9"/>
    <w:rsid w:val="00D42F7C"/>
    <w:rsid w:val="00D432C0"/>
    <w:rsid w:val="00D433E8"/>
    <w:rsid w:val="00D43ADC"/>
    <w:rsid w:val="00D443B8"/>
    <w:rsid w:val="00D44491"/>
    <w:rsid w:val="00D44EEF"/>
    <w:rsid w:val="00D45621"/>
    <w:rsid w:val="00D45859"/>
    <w:rsid w:val="00D46C45"/>
    <w:rsid w:val="00D47BF5"/>
    <w:rsid w:val="00D500F7"/>
    <w:rsid w:val="00D50650"/>
    <w:rsid w:val="00D5073B"/>
    <w:rsid w:val="00D509EA"/>
    <w:rsid w:val="00D511E2"/>
    <w:rsid w:val="00D5147B"/>
    <w:rsid w:val="00D52C9A"/>
    <w:rsid w:val="00D53692"/>
    <w:rsid w:val="00D540B2"/>
    <w:rsid w:val="00D54F50"/>
    <w:rsid w:val="00D55256"/>
    <w:rsid w:val="00D55F32"/>
    <w:rsid w:val="00D57535"/>
    <w:rsid w:val="00D5795D"/>
    <w:rsid w:val="00D57E62"/>
    <w:rsid w:val="00D57F32"/>
    <w:rsid w:val="00D6081A"/>
    <w:rsid w:val="00D60DA6"/>
    <w:rsid w:val="00D62943"/>
    <w:rsid w:val="00D651EF"/>
    <w:rsid w:val="00D65843"/>
    <w:rsid w:val="00D66F7E"/>
    <w:rsid w:val="00D66FD8"/>
    <w:rsid w:val="00D6789C"/>
    <w:rsid w:val="00D67F82"/>
    <w:rsid w:val="00D7037F"/>
    <w:rsid w:val="00D704FA"/>
    <w:rsid w:val="00D706EF"/>
    <w:rsid w:val="00D70B5B"/>
    <w:rsid w:val="00D70E5C"/>
    <w:rsid w:val="00D71B8B"/>
    <w:rsid w:val="00D71D79"/>
    <w:rsid w:val="00D71DFF"/>
    <w:rsid w:val="00D72125"/>
    <w:rsid w:val="00D72EB4"/>
    <w:rsid w:val="00D72F53"/>
    <w:rsid w:val="00D73228"/>
    <w:rsid w:val="00D73415"/>
    <w:rsid w:val="00D735BE"/>
    <w:rsid w:val="00D7368F"/>
    <w:rsid w:val="00D73B10"/>
    <w:rsid w:val="00D73D4D"/>
    <w:rsid w:val="00D74485"/>
    <w:rsid w:val="00D74BEB"/>
    <w:rsid w:val="00D74DB3"/>
    <w:rsid w:val="00D75DE7"/>
    <w:rsid w:val="00D75F23"/>
    <w:rsid w:val="00D76806"/>
    <w:rsid w:val="00D771BB"/>
    <w:rsid w:val="00D77276"/>
    <w:rsid w:val="00D77986"/>
    <w:rsid w:val="00D8004D"/>
    <w:rsid w:val="00D80948"/>
    <w:rsid w:val="00D824B3"/>
    <w:rsid w:val="00D82554"/>
    <w:rsid w:val="00D825D6"/>
    <w:rsid w:val="00D828E1"/>
    <w:rsid w:val="00D839A3"/>
    <w:rsid w:val="00D848AD"/>
    <w:rsid w:val="00D850AD"/>
    <w:rsid w:val="00D857A1"/>
    <w:rsid w:val="00D866C8"/>
    <w:rsid w:val="00D86DBA"/>
    <w:rsid w:val="00D8740F"/>
    <w:rsid w:val="00D87711"/>
    <w:rsid w:val="00D87FCC"/>
    <w:rsid w:val="00D906C1"/>
    <w:rsid w:val="00D90A39"/>
    <w:rsid w:val="00D9115B"/>
    <w:rsid w:val="00D91601"/>
    <w:rsid w:val="00D91A0C"/>
    <w:rsid w:val="00D9294A"/>
    <w:rsid w:val="00D93BFF"/>
    <w:rsid w:val="00D93C21"/>
    <w:rsid w:val="00D94398"/>
    <w:rsid w:val="00D94798"/>
    <w:rsid w:val="00D95123"/>
    <w:rsid w:val="00D953B4"/>
    <w:rsid w:val="00D95562"/>
    <w:rsid w:val="00D95B1D"/>
    <w:rsid w:val="00D964F9"/>
    <w:rsid w:val="00D966D3"/>
    <w:rsid w:val="00D96A96"/>
    <w:rsid w:val="00D96C68"/>
    <w:rsid w:val="00D96D78"/>
    <w:rsid w:val="00D96FE4"/>
    <w:rsid w:val="00D97269"/>
    <w:rsid w:val="00DA0196"/>
    <w:rsid w:val="00DA0204"/>
    <w:rsid w:val="00DA09DE"/>
    <w:rsid w:val="00DA09EA"/>
    <w:rsid w:val="00DA2DF0"/>
    <w:rsid w:val="00DA4557"/>
    <w:rsid w:val="00DA6AF1"/>
    <w:rsid w:val="00DA6F00"/>
    <w:rsid w:val="00DB0023"/>
    <w:rsid w:val="00DB0AF9"/>
    <w:rsid w:val="00DB11DF"/>
    <w:rsid w:val="00DB1C50"/>
    <w:rsid w:val="00DB302E"/>
    <w:rsid w:val="00DB3459"/>
    <w:rsid w:val="00DB37E1"/>
    <w:rsid w:val="00DB5982"/>
    <w:rsid w:val="00DB5D97"/>
    <w:rsid w:val="00DB615A"/>
    <w:rsid w:val="00DC0CCA"/>
    <w:rsid w:val="00DC0E25"/>
    <w:rsid w:val="00DC1066"/>
    <w:rsid w:val="00DC153C"/>
    <w:rsid w:val="00DC2615"/>
    <w:rsid w:val="00DC3467"/>
    <w:rsid w:val="00DC37E2"/>
    <w:rsid w:val="00DC39A0"/>
    <w:rsid w:val="00DC5E48"/>
    <w:rsid w:val="00DC6A10"/>
    <w:rsid w:val="00DC73F2"/>
    <w:rsid w:val="00DD085C"/>
    <w:rsid w:val="00DD0FAA"/>
    <w:rsid w:val="00DD1378"/>
    <w:rsid w:val="00DD1478"/>
    <w:rsid w:val="00DD2813"/>
    <w:rsid w:val="00DD2830"/>
    <w:rsid w:val="00DD46AC"/>
    <w:rsid w:val="00DD512F"/>
    <w:rsid w:val="00DD58CC"/>
    <w:rsid w:val="00DD6B23"/>
    <w:rsid w:val="00DD7DEC"/>
    <w:rsid w:val="00DE001A"/>
    <w:rsid w:val="00DE0855"/>
    <w:rsid w:val="00DE0D97"/>
    <w:rsid w:val="00DE132F"/>
    <w:rsid w:val="00DE140D"/>
    <w:rsid w:val="00DE26A8"/>
    <w:rsid w:val="00DE28AA"/>
    <w:rsid w:val="00DE31D8"/>
    <w:rsid w:val="00DE32B8"/>
    <w:rsid w:val="00DE35DA"/>
    <w:rsid w:val="00DE3665"/>
    <w:rsid w:val="00DE4639"/>
    <w:rsid w:val="00DE58E1"/>
    <w:rsid w:val="00DE625D"/>
    <w:rsid w:val="00DE62D1"/>
    <w:rsid w:val="00DE722D"/>
    <w:rsid w:val="00DE78A9"/>
    <w:rsid w:val="00DE7B9D"/>
    <w:rsid w:val="00DE7EF7"/>
    <w:rsid w:val="00DF1E14"/>
    <w:rsid w:val="00DF22E9"/>
    <w:rsid w:val="00DF25C8"/>
    <w:rsid w:val="00DF2E35"/>
    <w:rsid w:val="00DF2FED"/>
    <w:rsid w:val="00DF32BF"/>
    <w:rsid w:val="00DF3355"/>
    <w:rsid w:val="00DF35B4"/>
    <w:rsid w:val="00DF3FE9"/>
    <w:rsid w:val="00DF40EA"/>
    <w:rsid w:val="00DF44DA"/>
    <w:rsid w:val="00DF4772"/>
    <w:rsid w:val="00DF5465"/>
    <w:rsid w:val="00DF547A"/>
    <w:rsid w:val="00DF5944"/>
    <w:rsid w:val="00DF5AD0"/>
    <w:rsid w:val="00DF5C36"/>
    <w:rsid w:val="00DF5F8C"/>
    <w:rsid w:val="00DF7279"/>
    <w:rsid w:val="00DF76B6"/>
    <w:rsid w:val="00DF76C1"/>
    <w:rsid w:val="00DF7EA1"/>
    <w:rsid w:val="00E00A1A"/>
    <w:rsid w:val="00E028B3"/>
    <w:rsid w:val="00E03B7B"/>
    <w:rsid w:val="00E0401C"/>
    <w:rsid w:val="00E04544"/>
    <w:rsid w:val="00E0463B"/>
    <w:rsid w:val="00E051D0"/>
    <w:rsid w:val="00E05FE1"/>
    <w:rsid w:val="00E06237"/>
    <w:rsid w:val="00E063D0"/>
    <w:rsid w:val="00E07729"/>
    <w:rsid w:val="00E13583"/>
    <w:rsid w:val="00E13652"/>
    <w:rsid w:val="00E1493D"/>
    <w:rsid w:val="00E14E2D"/>
    <w:rsid w:val="00E157C0"/>
    <w:rsid w:val="00E15B70"/>
    <w:rsid w:val="00E15CCF"/>
    <w:rsid w:val="00E16761"/>
    <w:rsid w:val="00E16C3D"/>
    <w:rsid w:val="00E1700A"/>
    <w:rsid w:val="00E178E8"/>
    <w:rsid w:val="00E20821"/>
    <w:rsid w:val="00E2158E"/>
    <w:rsid w:val="00E216D9"/>
    <w:rsid w:val="00E2270F"/>
    <w:rsid w:val="00E2286B"/>
    <w:rsid w:val="00E22DD2"/>
    <w:rsid w:val="00E23AB3"/>
    <w:rsid w:val="00E24D46"/>
    <w:rsid w:val="00E25277"/>
    <w:rsid w:val="00E27189"/>
    <w:rsid w:val="00E2791E"/>
    <w:rsid w:val="00E27DEB"/>
    <w:rsid w:val="00E30A6F"/>
    <w:rsid w:val="00E31611"/>
    <w:rsid w:val="00E33985"/>
    <w:rsid w:val="00E34396"/>
    <w:rsid w:val="00E34D33"/>
    <w:rsid w:val="00E34F8A"/>
    <w:rsid w:val="00E361B7"/>
    <w:rsid w:val="00E36449"/>
    <w:rsid w:val="00E3661F"/>
    <w:rsid w:val="00E3662A"/>
    <w:rsid w:val="00E36B39"/>
    <w:rsid w:val="00E377D8"/>
    <w:rsid w:val="00E37CCB"/>
    <w:rsid w:val="00E409EB"/>
    <w:rsid w:val="00E40BC7"/>
    <w:rsid w:val="00E411B9"/>
    <w:rsid w:val="00E414FC"/>
    <w:rsid w:val="00E42519"/>
    <w:rsid w:val="00E442A3"/>
    <w:rsid w:val="00E44411"/>
    <w:rsid w:val="00E44EF5"/>
    <w:rsid w:val="00E455E3"/>
    <w:rsid w:val="00E46A24"/>
    <w:rsid w:val="00E47894"/>
    <w:rsid w:val="00E50780"/>
    <w:rsid w:val="00E50B85"/>
    <w:rsid w:val="00E50BB2"/>
    <w:rsid w:val="00E52021"/>
    <w:rsid w:val="00E52136"/>
    <w:rsid w:val="00E527C4"/>
    <w:rsid w:val="00E52D1D"/>
    <w:rsid w:val="00E52ED5"/>
    <w:rsid w:val="00E53573"/>
    <w:rsid w:val="00E537FE"/>
    <w:rsid w:val="00E546D1"/>
    <w:rsid w:val="00E55401"/>
    <w:rsid w:val="00E55DCB"/>
    <w:rsid w:val="00E56779"/>
    <w:rsid w:val="00E56DE7"/>
    <w:rsid w:val="00E57553"/>
    <w:rsid w:val="00E60A57"/>
    <w:rsid w:val="00E61013"/>
    <w:rsid w:val="00E612A1"/>
    <w:rsid w:val="00E62852"/>
    <w:rsid w:val="00E62E87"/>
    <w:rsid w:val="00E63DE1"/>
    <w:rsid w:val="00E66080"/>
    <w:rsid w:val="00E66F75"/>
    <w:rsid w:val="00E72196"/>
    <w:rsid w:val="00E72C73"/>
    <w:rsid w:val="00E736AC"/>
    <w:rsid w:val="00E73720"/>
    <w:rsid w:val="00E73722"/>
    <w:rsid w:val="00E744B9"/>
    <w:rsid w:val="00E75328"/>
    <w:rsid w:val="00E757BB"/>
    <w:rsid w:val="00E75F61"/>
    <w:rsid w:val="00E7796B"/>
    <w:rsid w:val="00E8199B"/>
    <w:rsid w:val="00E839C5"/>
    <w:rsid w:val="00E84AF0"/>
    <w:rsid w:val="00E84BF6"/>
    <w:rsid w:val="00E8562E"/>
    <w:rsid w:val="00E87436"/>
    <w:rsid w:val="00E87CF5"/>
    <w:rsid w:val="00E901CC"/>
    <w:rsid w:val="00E908D2"/>
    <w:rsid w:val="00E90EE8"/>
    <w:rsid w:val="00E9174C"/>
    <w:rsid w:val="00E9273C"/>
    <w:rsid w:val="00E9310C"/>
    <w:rsid w:val="00E931DF"/>
    <w:rsid w:val="00E93531"/>
    <w:rsid w:val="00E938D5"/>
    <w:rsid w:val="00E93A1D"/>
    <w:rsid w:val="00E93D8D"/>
    <w:rsid w:val="00E949D7"/>
    <w:rsid w:val="00E94C9A"/>
    <w:rsid w:val="00E96F95"/>
    <w:rsid w:val="00E9712C"/>
    <w:rsid w:val="00EA0A4D"/>
    <w:rsid w:val="00EA0C07"/>
    <w:rsid w:val="00EA3170"/>
    <w:rsid w:val="00EA53EA"/>
    <w:rsid w:val="00EA5FC3"/>
    <w:rsid w:val="00EA6040"/>
    <w:rsid w:val="00EA6405"/>
    <w:rsid w:val="00EA6846"/>
    <w:rsid w:val="00EA6A59"/>
    <w:rsid w:val="00EB0037"/>
    <w:rsid w:val="00EB1132"/>
    <w:rsid w:val="00EB17E9"/>
    <w:rsid w:val="00EB1DB3"/>
    <w:rsid w:val="00EB3AC2"/>
    <w:rsid w:val="00EB3FD5"/>
    <w:rsid w:val="00EB4A9A"/>
    <w:rsid w:val="00EB4CC9"/>
    <w:rsid w:val="00EB5181"/>
    <w:rsid w:val="00EB54B3"/>
    <w:rsid w:val="00EB5734"/>
    <w:rsid w:val="00EB5FF3"/>
    <w:rsid w:val="00EB614B"/>
    <w:rsid w:val="00EB7164"/>
    <w:rsid w:val="00EB751D"/>
    <w:rsid w:val="00EB7BA6"/>
    <w:rsid w:val="00EB7F8F"/>
    <w:rsid w:val="00EC08BF"/>
    <w:rsid w:val="00EC0C11"/>
    <w:rsid w:val="00EC1392"/>
    <w:rsid w:val="00EC171A"/>
    <w:rsid w:val="00EC2B11"/>
    <w:rsid w:val="00EC34B0"/>
    <w:rsid w:val="00EC3C15"/>
    <w:rsid w:val="00EC4AB2"/>
    <w:rsid w:val="00EC5359"/>
    <w:rsid w:val="00EC6DD6"/>
    <w:rsid w:val="00EC7925"/>
    <w:rsid w:val="00EC7DF9"/>
    <w:rsid w:val="00ED02A5"/>
    <w:rsid w:val="00ED10C5"/>
    <w:rsid w:val="00ED1A8C"/>
    <w:rsid w:val="00ED25B1"/>
    <w:rsid w:val="00ED295E"/>
    <w:rsid w:val="00ED2EEF"/>
    <w:rsid w:val="00ED3057"/>
    <w:rsid w:val="00ED3305"/>
    <w:rsid w:val="00ED35D1"/>
    <w:rsid w:val="00ED3FFD"/>
    <w:rsid w:val="00ED44EA"/>
    <w:rsid w:val="00ED47FC"/>
    <w:rsid w:val="00ED50D4"/>
    <w:rsid w:val="00ED5110"/>
    <w:rsid w:val="00ED5877"/>
    <w:rsid w:val="00ED62F9"/>
    <w:rsid w:val="00ED64D7"/>
    <w:rsid w:val="00ED6E6D"/>
    <w:rsid w:val="00ED7F93"/>
    <w:rsid w:val="00EE050F"/>
    <w:rsid w:val="00EE096C"/>
    <w:rsid w:val="00EE0E9C"/>
    <w:rsid w:val="00EE1D1A"/>
    <w:rsid w:val="00EE1EFC"/>
    <w:rsid w:val="00EE364C"/>
    <w:rsid w:val="00EE44DC"/>
    <w:rsid w:val="00EE5525"/>
    <w:rsid w:val="00EE5FD1"/>
    <w:rsid w:val="00EE6D7F"/>
    <w:rsid w:val="00EE6EAE"/>
    <w:rsid w:val="00EE77F7"/>
    <w:rsid w:val="00EE7CA3"/>
    <w:rsid w:val="00EF08CF"/>
    <w:rsid w:val="00EF1699"/>
    <w:rsid w:val="00EF175E"/>
    <w:rsid w:val="00EF27A0"/>
    <w:rsid w:val="00EF3F20"/>
    <w:rsid w:val="00EF461A"/>
    <w:rsid w:val="00EF50DD"/>
    <w:rsid w:val="00EF5EB6"/>
    <w:rsid w:val="00EF69D0"/>
    <w:rsid w:val="00EF6EBD"/>
    <w:rsid w:val="00F00C8E"/>
    <w:rsid w:val="00F014E4"/>
    <w:rsid w:val="00F01728"/>
    <w:rsid w:val="00F02245"/>
    <w:rsid w:val="00F02521"/>
    <w:rsid w:val="00F041B2"/>
    <w:rsid w:val="00F05925"/>
    <w:rsid w:val="00F06368"/>
    <w:rsid w:val="00F06AC2"/>
    <w:rsid w:val="00F07732"/>
    <w:rsid w:val="00F077A1"/>
    <w:rsid w:val="00F07F85"/>
    <w:rsid w:val="00F07F9D"/>
    <w:rsid w:val="00F12DB5"/>
    <w:rsid w:val="00F1343A"/>
    <w:rsid w:val="00F141E3"/>
    <w:rsid w:val="00F15EA6"/>
    <w:rsid w:val="00F160A9"/>
    <w:rsid w:val="00F16F40"/>
    <w:rsid w:val="00F17B53"/>
    <w:rsid w:val="00F17C2D"/>
    <w:rsid w:val="00F20EC2"/>
    <w:rsid w:val="00F224D1"/>
    <w:rsid w:val="00F229CB"/>
    <w:rsid w:val="00F24C54"/>
    <w:rsid w:val="00F24DC3"/>
    <w:rsid w:val="00F250B2"/>
    <w:rsid w:val="00F25905"/>
    <w:rsid w:val="00F27355"/>
    <w:rsid w:val="00F2788E"/>
    <w:rsid w:val="00F279B2"/>
    <w:rsid w:val="00F30222"/>
    <w:rsid w:val="00F30978"/>
    <w:rsid w:val="00F31EEE"/>
    <w:rsid w:val="00F32082"/>
    <w:rsid w:val="00F32E5C"/>
    <w:rsid w:val="00F33539"/>
    <w:rsid w:val="00F3378A"/>
    <w:rsid w:val="00F3398F"/>
    <w:rsid w:val="00F33C8C"/>
    <w:rsid w:val="00F33F76"/>
    <w:rsid w:val="00F36D3F"/>
    <w:rsid w:val="00F3778A"/>
    <w:rsid w:val="00F37CEA"/>
    <w:rsid w:val="00F40274"/>
    <w:rsid w:val="00F40654"/>
    <w:rsid w:val="00F407F2"/>
    <w:rsid w:val="00F40D33"/>
    <w:rsid w:val="00F438DC"/>
    <w:rsid w:val="00F4399C"/>
    <w:rsid w:val="00F43B65"/>
    <w:rsid w:val="00F44958"/>
    <w:rsid w:val="00F44CA4"/>
    <w:rsid w:val="00F44E54"/>
    <w:rsid w:val="00F45118"/>
    <w:rsid w:val="00F46B52"/>
    <w:rsid w:val="00F5004D"/>
    <w:rsid w:val="00F50FE0"/>
    <w:rsid w:val="00F51883"/>
    <w:rsid w:val="00F5230D"/>
    <w:rsid w:val="00F52A27"/>
    <w:rsid w:val="00F54285"/>
    <w:rsid w:val="00F54469"/>
    <w:rsid w:val="00F54FB6"/>
    <w:rsid w:val="00F555FE"/>
    <w:rsid w:val="00F559AA"/>
    <w:rsid w:val="00F55B40"/>
    <w:rsid w:val="00F572D6"/>
    <w:rsid w:val="00F578B5"/>
    <w:rsid w:val="00F60230"/>
    <w:rsid w:val="00F60427"/>
    <w:rsid w:val="00F608CF"/>
    <w:rsid w:val="00F60BF7"/>
    <w:rsid w:val="00F61066"/>
    <w:rsid w:val="00F61367"/>
    <w:rsid w:val="00F625C8"/>
    <w:rsid w:val="00F62A30"/>
    <w:rsid w:val="00F62E48"/>
    <w:rsid w:val="00F6313B"/>
    <w:rsid w:val="00F6368B"/>
    <w:rsid w:val="00F63E35"/>
    <w:rsid w:val="00F63FE6"/>
    <w:rsid w:val="00F644A6"/>
    <w:rsid w:val="00F6483B"/>
    <w:rsid w:val="00F64A92"/>
    <w:rsid w:val="00F658D4"/>
    <w:rsid w:val="00F65E3A"/>
    <w:rsid w:val="00F662FF"/>
    <w:rsid w:val="00F673C5"/>
    <w:rsid w:val="00F7193D"/>
    <w:rsid w:val="00F721F1"/>
    <w:rsid w:val="00F72322"/>
    <w:rsid w:val="00F72CA5"/>
    <w:rsid w:val="00F731BE"/>
    <w:rsid w:val="00F73A66"/>
    <w:rsid w:val="00F73EF0"/>
    <w:rsid w:val="00F73EFB"/>
    <w:rsid w:val="00F7412A"/>
    <w:rsid w:val="00F75BF3"/>
    <w:rsid w:val="00F761D5"/>
    <w:rsid w:val="00F76ABA"/>
    <w:rsid w:val="00F77C5C"/>
    <w:rsid w:val="00F77D6A"/>
    <w:rsid w:val="00F80618"/>
    <w:rsid w:val="00F81D3A"/>
    <w:rsid w:val="00F82514"/>
    <w:rsid w:val="00F827F0"/>
    <w:rsid w:val="00F828EE"/>
    <w:rsid w:val="00F82BA0"/>
    <w:rsid w:val="00F840E1"/>
    <w:rsid w:val="00F844CF"/>
    <w:rsid w:val="00F846C0"/>
    <w:rsid w:val="00F8491D"/>
    <w:rsid w:val="00F85FAF"/>
    <w:rsid w:val="00F906F4"/>
    <w:rsid w:val="00F90ED2"/>
    <w:rsid w:val="00F911DB"/>
    <w:rsid w:val="00F92A3F"/>
    <w:rsid w:val="00F92FB1"/>
    <w:rsid w:val="00F9347D"/>
    <w:rsid w:val="00F93573"/>
    <w:rsid w:val="00F93FCD"/>
    <w:rsid w:val="00F94736"/>
    <w:rsid w:val="00F95C3D"/>
    <w:rsid w:val="00F969C3"/>
    <w:rsid w:val="00F976C6"/>
    <w:rsid w:val="00F97FEB"/>
    <w:rsid w:val="00FA022C"/>
    <w:rsid w:val="00FA0A34"/>
    <w:rsid w:val="00FA1021"/>
    <w:rsid w:val="00FA4B44"/>
    <w:rsid w:val="00FA54DB"/>
    <w:rsid w:val="00FA5CF2"/>
    <w:rsid w:val="00FA6A16"/>
    <w:rsid w:val="00FA6F89"/>
    <w:rsid w:val="00FA70E2"/>
    <w:rsid w:val="00FA7559"/>
    <w:rsid w:val="00FA7843"/>
    <w:rsid w:val="00FB07BA"/>
    <w:rsid w:val="00FB0C3C"/>
    <w:rsid w:val="00FB0C6A"/>
    <w:rsid w:val="00FB0E7D"/>
    <w:rsid w:val="00FB15E8"/>
    <w:rsid w:val="00FB2925"/>
    <w:rsid w:val="00FB5BE8"/>
    <w:rsid w:val="00FB7854"/>
    <w:rsid w:val="00FC05DA"/>
    <w:rsid w:val="00FC1D93"/>
    <w:rsid w:val="00FC1F8D"/>
    <w:rsid w:val="00FC23B6"/>
    <w:rsid w:val="00FC2847"/>
    <w:rsid w:val="00FC2FE4"/>
    <w:rsid w:val="00FC4278"/>
    <w:rsid w:val="00FC4E13"/>
    <w:rsid w:val="00FC5653"/>
    <w:rsid w:val="00FC5AEF"/>
    <w:rsid w:val="00FC6318"/>
    <w:rsid w:val="00FC6BE4"/>
    <w:rsid w:val="00FC6DDE"/>
    <w:rsid w:val="00FC7788"/>
    <w:rsid w:val="00FC7CD2"/>
    <w:rsid w:val="00FD0581"/>
    <w:rsid w:val="00FD0FB5"/>
    <w:rsid w:val="00FD178E"/>
    <w:rsid w:val="00FD1FCC"/>
    <w:rsid w:val="00FD2288"/>
    <w:rsid w:val="00FD4EBC"/>
    <w:rsid w:val="00FD5C38"/>
    <w:rsid w:val="00FD6234"/>
    <w:rsid w:val="00FD69BC"/>
    <w:rsid w:val="00FD6F3E"/>
    <w:rsid w:val="00FD72CC"/>
    <w:rsid w:val="00FD7F56"/>
    <w:rsid w:val="00FE0577"/>
    <w:rsid w:val="00FE18A2"/>
    <w:rsid w:val="00FE1E47"/>
    <w:rsid w:val="00FE1F62"/>
    <w:rsid w:val="00FE20A8"/>
    <w:rsid w:val="00FE2A05"/>
    <w:rsid w:val="00FE30D0"/>
    <w:rsid w:val="00FE3A14"/>
    <w:rsid w:val="00FE3FA9"/>
    <w:rsid w:val="00FE47F5"/>
    <w:rsid w:val="00FE6CBD"/>
    <w:rsid w:val="00FE6DBB"/>
    <w:rsid w:val="00FE6F2E"/>
    <w:rsid w:val="00FE791B"/>
    <w:rsid w:val="00FF0077"/>
    <w:rsid w:val="00FF0C0E"/>
    <w:rsid w:val="00FF1993"/>
    <w:rsid w:val="00FF2381"/>
    <w:rsid w:val="00FF2D88"/>
    <w:rsid w:val="00FF3CF5"/>
    <w:rsid w:val="00FF457B"/>
    <w:rsid w:val="00FF5C94"/>
    <w:rsid w:val="00FF7636"/>
    <w:rsid w:val="00FF7EBC"/>
    <w:rsid w:val="00FF7F3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F9472B-7FC7-453C-B7F4-BA00B6796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20"/>
        <w:tab w:val="left" w:pos="1440"/>
      </w:tabs>
    </w:pPr>
    <w:rPr>
      <w:sz w:val="22"/>
      <w:lang w:eastAsia="en-US"/>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tabs>
        <w:tab w:val="clear" w:pos="1440"/>
      </w:tabs>
      <w:jc w:val="both"/>
      <w:outlineLvl w:val="1"/>
    </w:pPr>
    <w:rPr>
      <w:b/>
      <w:sz w:val="24"/>
    </w:rPr>
  </w:style>
  <w:style w:type="paragraph" w:styleId="Heading3">
    <w:name w:val="heading 3"/>
    <w:basedOn w:val="Normal"/>
    <w:next w:val="Normal"/>
    <w:qFormat/>
    <w:pPr>
      <w:keepNext/>
      <w:tabs>
        <w:tab w:val="left" w:pos="450"/>
      </w:tabs>
      <w:jc w:val="both"/>
      <w:outlineLvl w:val="2"/>
    </w:pPr>
    <w:rPr>
      <w:sz w:val="24"/>
    </w:rPr>
  </w:style>
  <w:style w:type="paragraph" w:styleId="Heading4">
    <w:name w:val="heading 4"/>
    <w:basedOn w:val="Normal"/>
    <w:next w:val="Normal"/>
    <w:qFormat/>
    <w:pPr>
      <w:keepNext/>
      <w:ind w:left="450"/>
      <w:jc w:val="both"/>
      <w:outlineLvl w:val="3"/>
    </w:pPr>
    <w:rPr>
      <w:b/>
      <w:sz w:val="24"/>
    </w:rPr>
  </w:style>
  <w:style w:type="paragraph" w:styleId="Heading5">
    <w:name w:val="heading 5"/>
    <w:basedOn w:val="Normal"/>
    <w:next w:val="Normal"/>
    <w:qFormat/>
    <w:pPr>
      <w:keepNext/>
      <w:jc w:val="center"/>
      <w:outlineLvl w:val="4"/>
    </w:pPr>
    <w:rPr>
      <w:b/>
      <w:sz w:val="24"/>
    </w:rPr>
  </w:style>
  <w:style w:type="paragraph" w:styleId="Heading6">
    <w:name w:val="heading 6"/>
    <w:basedOn w:val="Normal"/>
    <w:next w:val="Normal"/>
    <w:qFormat/>
    <w:pPr>
      <w:keepNext/>
      <w:jc w:val="center"/>
      <w:outlineLvl w:val="5"/>
    </w:pPr>
    <w:rPr>
      <w:sz w:val="24"/>
    </w:rPr>
  </w:style>
  <w:style w:type="paragraph" w:styleId="Heading7">
    <w:name w:val="heading 7"/>
    <w:basedOn w:val="Normal"/>
    <w:next w:val="Normal"/>
    <w:qFormat/>
    <w:pPr>
      <w:keepNext/>
      <w:outlineLvl w:val="6"/>
    </w:pPr>
    <w:rPr>
      <w:b/>
      <w14:shadow w14:blurRad="50800" w14:dist="38100" w14:dir="2700000" w14:sx="100000" w14:sy="100000" w14:kx="0" w14:ky="0" w14:algn="tl">
        <w14:srgbClr w14:val="000000">
          <w14:alpha w14:val="60000"/>
        </w14:srgbClr>
      </w14:shadow>
    </w:rPr>
  </w:style>
  <w:style w:type="paragraph" w:styleId="Heading8">
    <w:name w:val="heading 8"/>
    <w:basedOn w:val="Normal"/>
    <w:next w:val="Normal"/>
    <w:qFormat/>
    <w:pPr>
      <w:keepNext/>
      <w:tabs>
        <w:tab w:val="clear" w:pos="720"/>
        <w:tab w:val="clear" w:pos="1440"/>
      </w:tabs>
      <w:jc w:val="both"/>
      <w:outlineLvl w:val="7"/>
    </w:pPr>
    <w:rPr>
      <w:b/>
      <w:bCs/>
    </w:rPr>
  </w:style>
  <w:style w:type="paragraph" w:styleId="Heading9">
    <w:name w:val="heading 9"/>
    <w:basedOn w:val="Normal"/>
    <w:next w:val="Normal"/>
    <w:qFormat/>
    <w:pPr>
      <w:keepNext/>
      <w:outlineLvl w:val="8"/>
    </w:pPr>
    <w:rPr>
      <w:rFonts w:ascii="Book Antiqua" w:hAnsi="Book Antiqu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jc w:val="both"/>
    </w:pPr>
    <w:rPr>
      <w:sz w:val="24"/>
    </w:rPr>
  </w:style>
  <w:style w:type="paragraph" w:styleId="BodyTextIndent2">
    <w:name w:val="Body Text Indent 2"/>
    <w:basedOn w:val="Normal"/>
    <w:pPr>
      <w:ind w:left="450"/>
      <w:jc w:val="both"/>
    </w:pPr>
    <w:rPr>
      <w:sz w:val="24"/>
    </w:rPr>
  </w:style>
  <w:style w:type="paragraph" w:styleId="BodyTextIndent3">
    <w:name w:val="Body Text Indent 3"/>
    <w:basedOn w:val="Normal"/>
    <w:pPr>
      <w:ind w:left="540"/>
      <w:jc w:val="both"/>
    </w:pPr>
    <w:rPr>
      <w:sz w:val="24"/>
    </w:rPr>
  </w:style>
  <w:style w:type="paragraph" w:styleId="BodyText">
    <w:name w:val="Body Text"/>
    <w:basedOn w:val="Normal"/>
    <w:link w:val="BodyTextChar"/>
    <w:pPr>
      <w:tabs>
        <w:tab w:val="left" w:pos="1080"/>
      </w:tabs>
      <w:jc w:val="both"/>
    </w:p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lear" w:pos="720"/>
        <w:tab w:val="clear" w:pos="1440"/>
        <w:tab w:val="center" w:pos="4153"/>
        <w:tab w:val="right" w:pos="8306"/>
      </w:tabs>
    </w:pPr>
  </w:style>
  <w:style w:type="paragraph" w:styleId="Footer">
    <w:name w:val="footer"/>
    <w:basedOn w:val="Normal"/>
    <w:pPr>
      <w:tabs>
        <w:tab w:val="clear" w:pos="720"/>
        <w:tab w:val="clear" w:pos="1440"/>
        <w:tab w:val="center" w:pos="4153"/>
        <w:tab w:val="right" w:pos="8306"/>
      </w:tabs>
    </w:p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Hyperlink">
    <w:name w:val="Hyperlink"/>
    <w:rPr>
      <w:color w:val="0000FF"/>
      <w:u w:val="single"/>
    </w:rPr>
  </w:style>
  <w:style w:type="paragraph" w:styleId="BlockText">
    <w:name w:val="Block Text"/>
    <w:basedOn w:val="Normal"/>
    <w:pPr>
      <w:tabs>
        <w:tab w:val="clear" w:pos="720"/>
        <w:tab w:val="clear" w:pos="1440"/>
      </w:tabs>
      <w:ind w:left="4500" w:right="29"/>
      <w:jc w:val="both"/>
    </w:pPr>
    <w:rPr>
      <w:sz w:val="24"/>
    </w:rPr>
  </w:style>
  <w:style w:type="paragraph" w:customStyle="1" w:styleId="bodytest">
    <w:name w:val="body test"/>
    <w:basedOn w:val="Heading1"/>
    <w:pPr>
      <w:ind w:left="720"/>
      <w:jc w:val="both"/>
    </w:pPr>
    <w:rPr>
      <w:b w:val="0"/>
      <w:sz w:val="22"/>
    </w:rPr>
  </w:style>
  <w:style w:type="table" w:styleId="TableGrid">
    <w:name w:val="Table Grid"/>
    <w:basedOn w:val="TableNormal"/>
    <w:rsid w:val="00410BC0"/>
    <w:pPr>
      <w:tabs>
        <w:tab w:val="left" w:pos="720"/>
        <w:tab w:val="left" w:pos="1440"/>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546D1"/>
    <w:pPr>
      <w:widowControl w:val="0"/>
      <w:autoSpaceDE w:val="0"/>
      <w:autoSpaceDN w:val="0"/>
      <w:adjustRightInd w:val="0"/>
    </w:pPr>
    <w:rPr>
      <w:rFonts w:ascii="Optima" w:hAnsi="Optima" w:cs="Optima"/>
      <w:color w:val="000000"/>
      <w:sz w:val="24"/>
      <w:szCs w:val="24"/>
      <w:lang w:eastAsia="en-US"/>
    </w:rPr>
  </w:style>
  <w:style w:type="paragraph" w:customStyle="1" w:styleId="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w:basedOn w:val="Normal"/>
    <w:rsid w:val="004D059E"/>
    <w:pPr>
      <w:tabs>
        <w:tab w:val="clear" w:pos="720"/>
        <w:tab w:val="clear" w:pos="1440"/>
      </w:tabs>
      <w:spacing w:after="160" w:line="240" w:lineRule="exact"/>
    </w:pPr>
    <w:rPr>
      <w:rFonts w:ascii="Verdana" w:eastAsia="Times New Roman" w:hAnsi="Verdana"/>
      <w:sz w:val="20"/>
      <w:lang w:val="en-CA"/>
    </w:rPr>
  </w:style>
  <w:style w:type="paragraph" w:customStyle="1" w:styleId="CharChar4CharCharChar1CharCharCharCharCharCharCharCharCharCharCharCharCharCharChar2">
    <w:name w:val="Char Char4 Char Char Char1 Char Char Char Char Char Char Char Char Char Char Char Char Char Char Char2"/>
    <w:basedOn w:val="Normal"/>
    <w:rsid w:val="0075479E"/>
    <w:pPr>
      <w:tabs>
        <w:tab w:val="clear" w:pos="720"/>
        <w:tab w:val="clear" w:pos="1440"/>
      </w:tabs>
      <w:spacing w:after="160" w:line="240" w:lineRule="exact"/>
    </w:pPr>
    <w:rPr>
      <w:rFonts w:ascii="Verdana" w:eastAsia="Times New Roman" w:hAnsi="Verdana"/>
      <w:sz w:val="20"/>
      <w:lang w:val="en-CA"/>
    </w:rPr>
  </w:style>
  <w:style w:type="paragraph" w:customStyle="1" w:styleId="Char2CharCharCharCharCharCharCharCharCharCharCharCharCharCharCharCharCharCharChar">
    <w:name w:val="Char2 Char Char Char Char Char Char Char Char Char Char Char Char Char Char Char Char Char Char Char"/>
    <w:basedOn w:val="Normal"/>
    <w:rsid w:val="0075479E"/>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customStyle="1" w:styleId="Char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Char"/>
    <w:basedOn w:val="Normal"/>
    <w:rsid w:val="008D6936"/>
    <w:pPr>
      <w:tabs>
        <w:tab w:val="clear" w:pos="720"/>
        <w:tab w:val="clear" w:pos="1440"/>
      </w:tabs>
      <w:spacing w:after="160" w:line="240" w:lineRule="exact"/>
    </w:pPr>
    <w:rPr>
      <w:rFonts w:ascii="Verdana" w:eastAsia="Times New Roman" w:hAnsi="Verdana"/>
      <w:sz w:val="20"/>
      <w:lang w:val="en-CA"/>
    </w:rPr>
  </w:style>
  <w:style w:type="paragraph" w:styleId="Revision">
    <w:name w:val="Revision"/>
    <w:hidden/>
    <w:uiPriority w:val="99"/>
    <w:semiHidden/>
    <w:rsid w:val="00527EFF"/>
    <w:rPr>
      <w:sz w:val="22"/>
      <w:lang w:eastAsia="en-US"/>
    </w:rPr>
  </w:style>
  <w:style w:type="character" w:customStyle="1" w:styleId="BodyTextChar">
    <w:name w:val="Body Text Char"/>
    <w:link w:val="BodyText"/>
    <w:rsid w:val="00CE0448"/>
    <w:rPr>
      <w:sz w:val="22"/>
      <w:lang w:eastAsia="en-US"/>
    </w:rPr>
  </w:style>
  <w:style w:type="paragraph" w:customStyle="1" w:styleId="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w:basedOn w:val="Normal"/>
    <w:rsid w:val="00F02245"/>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styleId="ListParagraph">
    <w:name w:val="List Paragraph"/>
    <w:basedOn w:val="Normal"/>
    <w:uiPriority w:val="34"/>
    <w:qFormat/>
    <w:rsid w:val="00F224D1"/>
    <w:pPr>
      <w:ind w:left="720"/>
    </w:pPr>
  </w:style>
  <w:style w:type="character" w:customStyle="1" w:styleId="CommentTextChar">
    <w:name w:val="Comment Text Char"/>
    <w:link w:val="CommentText"/>
    <w:uiPriority w:val="99"/>
    <w:semiHidden/>
    <w:rsid w:val="0004662F"/>
    <w:rPr>
      <w:lang w:eastAsia="en-US"/>
    </w:rPr>
  </w:style>
  <w:style w:type="paragraph" w:customStyle="1" w:styleId="CharCharCharCharCharCharCharCharChar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Char Char Char Char Char Char Char Char Char"/>
    <w:basedOn w:val="Normal"/>
    <w:rsid w:val="008619E8"/>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customStyle="1" w:styleId="CharCharChar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 Char Char Char"/>
    <w:basedOn w:val="Normal"/>
    <w:rsid w:val="0091457D"/>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customStyle="1" w:styleId="CharCharCharCharCharCharCharCharChar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 Char Char Char Char Char Char Char Char Char"/>
    <w:basedOn w:val="Normal"/>
    <w:rsid w:val="00E52021"/>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customStyle="1" w:styleId="CharCharCharCharCharCharCharCharCharCharCharCharCharCharCharCharCharCharCharCharCharCharCharCharCharCharCharCharCharCharCharCharCharCharCharCharCharCharCharCharCharChar3">
    <w:name w:val="Char Char Char Char Char Char Char Char Char Char Char Char Char Char Char Char Char Char Char Char Char Char Char Char Char Char Char Char Char Char Char Char Char Char Char Char Char Char Char Char Char Char"/>
    <w:basedOn w:val="Normal"/>
    <w:rsid w:val="004278C4"/>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93594">
      <w:bodyDiv w:val="1"/>
      <w:marLeft w:val="0"/>
      <w:marRight w:val="0"/>
      <w:marTop w:val="0"/>
      <w:marBottom w:val="0"/>
      <w:divBdr>
        <w:top w:val="none" w:sz="0" w:space="0" w:color="auto"/>
        <w:left w:val="none" w:sz="0" w:space="0" w:color="auto"/>
        <w:bottom w:val="none" w:sz="0" w:space="0" w:color="auto"/>
        <w:right w:val="none" w:sz="0" w:space="0" w:color="auto"/>
      </w:divBdr>
    </w:div>
    <w:div w:id="665519517">
      <w:bodyDiv w:val="1"/>
      <w:marLeft w:val="0"/>
      <w:marRight w:val="0"/>
      <w:marTop w:val="0"/>
      <w:marBottom w:val="0"/>
      <w:divBdr>
        <w:top w:val="none" w:sz="0" w:space="0" w:color="auto"/>
        <w:left w:val="none" w:sz="0" w:space="0" w:color="auto"/>
        <w:bottom w:val="none" w:sz="0" w:space="0" w:color="auto"/>
        <w:right w:val="none" w:sz="0" w:space="0" w:color="auto"/>
      </w:divBdr>
    </w:div>
    <w:div w:id="891580866">
      <w:bodyDiv w:val="1"/>
      <w:marLeft w:val="0"/>
      <w:marRight w:val="0"/>
      <w:marTop w:val="0"/>
      <w:marBottom w:val="0"/>
      <w:divBdr>
        <w:top w:val="none" w:sz="0" w:space="0" w:color="auto"/>
        <w:left w:val="none" w:sz="0" w:space="0" w:color="auto"/>
        <w:bottom w:val="none" w:sz="0" w:space="0" w:color="auto"/>
        <w:right w:val="none" w:sz="0" w:space="0" w:color="auto"/>
      </w:divBdr>
    </w:div>
    <w:div w:id="1006248829">
      <w:bodyDiv w:val="1"/>
      <w:marLeft w:val="0"/>
      <w:marRight w:val="0"/>
      <w:marTop w:val="0"/>
      <w:marBottom w:val="0"/>
      <w:divBdr>
        <w:top w:val="none" w:sz="0" w:space="0" w:color="auto"/>
        <w:left w:val="none" w:sz="0" w:space="0" w:color="auto"/>
        <w:bottom w:val="none" w:sz="0" w:space="0" w:color="auto"/>
        <w:right w:val="none" w:sz="0" w:space="0" w:color="auto"/>
      </w:divBdr>
    </w:div>
    <w:div w:id="1168714637">
      <w:bodyDiv w:val="1"/>
      <w:marLeft w:val="0"/>
      <w:marRight w:val="0"/>
      <w:marTop w:val="0"/>
      <w:marBottom w:val="0"/>
      <w:divBdr>
        <w:top w:val="none" w:sz="0" w:space="0" w:color="auto"/>
        <w:left w:val="none" w:sz="0" w:space="0" w:color="auto"/>
        <w:bottom w:val="none" w:sz="0" w:space="0" w:color="auto"/>
        <w:right w:val="none" w:sz="0" w:space="0" w:color="auto"/>
      </w:divBdr>
    </w:div>
    <w:div w:id="1208639966">
      <w:bodyDiv w:val="1"/>
      <w:marLeft w:val="0"/>
      <w:marRight w:val="0"/>
      <w:marTop w:val="0"/>
      <w:marBottom w:val="0"/>
      <w:divBdr>
        <w:top w:val="none" w:sz="0" w:space="0" w:color="auto"/>
        <w:left w:val="none" w:sz="0" w:space="0" w:color="auto"/>
        <w:bottom w:val="none" w:sz="0" w:space="0" w:color="auto"/>
        <w:right w:val="none" w:sz="0" w:space="0" w:color="auto"/>
      </w:divBdr>
    </w:div>
    <w:div w:id="1243489893">
      <w:bodyDiv w:val="1"/>
      <w:marLeft w:val="0"/>
      <w:marRight w:val="0"/>
      <w:marTop w:val="0"/>
      <w:marBottom w:val="0"/>
      <w:divBdr>
        <w:top w:val="none" w:sz="0" w:space="0" w:color="auto"/>
        <w:left w:val="none" w:sz="0" w:space="0" w:color="auto"/>
        <w:bottom w:val="none" w:sz="0" w:space="0" w:color="auto"/>
        <w:right w:val="none" w:sz="0" w:space="0" w:color="auto"/>
      </w:divBdr>
    </w:div>
    <w:div w:id="1462840143">
      <w:bodyDiv w:val="1"/>
      <w:marLeft w:val="0"/>
      <w:marRight w:val="0"/>
      <w:marTop w:val="0"/>
      <w:marBottom w:val="0"/>
      <w:divBdr>
        <w:top w:val="none" w:sz="0" w:space="0" w:color="auto"/>
        <w:left w:val="none" w:sz="0" w:space="0" w:color="auto"/>
        <w:bottom w:val="none" w:sz="0" w:space="0" w:color="auto"/>
        <w:right w:val="none" w:sz="0" w:space="0" w:color="auto"/>
      </w:divBdr>
      <w:divsChild>
        <w:div w:id="1013532794">
          <w:marLeft w:val="0"/>
          <w:marRight w:val="0"/>
          <w:marTop w:val="0"/>
          <w:marBottom w:val="0"/>
          <w:divBdr>
            <w:top w:val="none" w:sz="0" w:space="0" w:color="auto"/>
            <w:left w:val="none" w:sz="0" w:space="0" w:color="auto"/>
            <w:bottom w:val="none" w:sz="0" w:space="0" w:color="auto"/>
            <w:right w:val="none" w:sz="0" w:space="0" w:color="auto"/>
          </w:divBdr>
        </w:div>
      </w:divsChild>
    </w:div>
    <w:div w:id="1649288893">
      <w:bodyDiv w:val="1"/>
      <w:marLeft w:val="0"/>
      <w:marRight w:val="0"/>
      <w:marTop w:val="0"/>
      <w:marBottom w:val="0"/>
      <w:divBdr>
        <w:top w:val="none" w:sz="0" w:space="0" w:color="auto"/>
        <w:left w:val="none" w:sz="0" w:space="0" w:color="auto"/>
        <w:bottom w:val="none" w:sz="0" w:space="0" w:color="auto"/>
        <w:right w:val="none" w:sz="0" w:space="0" w:color="auto"/>
      </w:divBdr>
    </w:div>
    <w:div w:id="1797523464">
      <w:bodyDiv w:val="1"/>
      <w:marLeft w:val="0"/>
      <w:marRight w:val="0"/>
      <w:marTop w:val="0"/>
      <w:marBottom w:val="0"/>
      <w:divBdr>
        <w:top w:val="none" w:sz="0" w:space="0" w:color="auto"/>
        <w:left w:val="none" w:sz="0" w:space="0" w:color="auto"/>
        <w:bottom w:val="none" w:sz="0" w:space="0" w:color="auto"/>
        <w:right w:val="none" w:sz="0" w:space="0" w:color="auto"/>
      </w:divBdr>
    </w:div>
    <w:div w:id="206760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72C96-F87A-4F9A-A9F4-391590B16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2484</Words>
  <Characters>14163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NOTES TO THE ACCOUNT</vt:lpstr>
    </vt:vector>
  </TitlesOfParts>
  <Company>Microsoft</Company>
  <LinksUpToDate>false</LinksUpToDate>
  <CharactersWithSpaces>16614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TO THE ACCOUNT</dc:title>
  <dc:creator>PTB</dc:creator>
  <cp:lastModifiedBy>SENIOR_7</cp:lastModifiedBy>
  <cp:revision>3</cp:revision>
  <cp:lastPrinted>2013-05-22T06:55:00Z</cp:lastPrinted>
  <dcterms:created xsi:type="dcterms:W3CDTF">2013-05-29T07:17:00Z</dcterms:created>
  <dcterms:modified xsi:type="dcterms:W3CDTF">2013-05-29T07:18:00Z</dcterms:modified>
</cp:coreProperties>
</file>